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053CF7" w14:textId="77777777" w:rsidR="00786DAF" w:rsidRDefault="00786DAF" w:rsidP="002C22B9">
      <w:pPr>
        <w:jc w:val="center"/>
        <w:rPr>
          <w:sz w:val="20"/>
        </w:rPr>
      </w:pPr>
    </w:p>
    <w:p w14:paraId="1E008EE6" w14:textId="77777777" w:rsidR="002C22B9" w:rsidRDefault="002C22B9" w:rsidP="002C22B9">
      <w:pPr>
        <w:jc w:val="center"/>
        <w:rPr>
          <w:sz w:val="20"/>
        </w:rPr>
      </w:pPr>
      <w:r w:rsidRPr="00914649">
        <w:rPr>
          <w:sz w:val="20"/>
        </w:rPr>
        <w:t>Rīgā</w:t>
      </w:r>
    </w:p>
    <w:p w14:paraId="1676C5C2"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5E91068A" w14:textId="77777777" w:rsidTr="009F77B9">
        <w:tc>
          <w:tcPr>
            <w:tcW w:w="450" w:type="dxa"/>
            <w:tcBorders>
              <w:top w:val="nil"/>
              <w:left w:val="nil"/>
              <w:bottom w:val="nil"/>
              <w:right w:val="nil"/>
            </w:tcBorders>
          </w:tcPr>
          <w:p w14:paraId="658D506E"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79538B90" w14:textId="42E42DAB"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002D1C79" w:rsidRPr="00615936">
              <w:rPr>
                <w:szCs w:val="24"/>
              </w:rPr>
            </w:r>
            <w:r w:rsidRPr="00615936">
              <w:rPr>
                <w:szCs w:val="24"/>
              </w:rPr>
              <w:fldChar w:fldCharType="separate"/>
            </w:r>
            <w:r w:rsidR="002D1C79">
              <w:rPr>
                <w:szCs w:val="24"/>
              </w:rPr>
              <w:t>07.12.2020</w:t>
            </w:r>
            <w:r w:rsidRPr="00615936">
              <w:rPr>
                <w:szCs w:val="24"/>
              </w:rPr>
              <w:fldChar w:fldCharType="end"/>
            </w:r>
            <w:bookmarkEnd w:id="0"/>
          </w:p>
        </w:tc>
        <w:tc>
          <w:tcPr>
            <w:tcW w:w="708" w:type="dxa"/>
            <w:tcBorders>
              <w:top w:val="nil"/>
              <w:left w:val="nil"/>
              <w:bottom w:val="nil"/>
              <w:right w:val="nil"/>
            </w:tcBorders>
          </w:tcPr>
          <w:p w14:paraId="151DF9F8"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3A0B4CE0" w14:textId="17AEB600"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E45DF4">
              <w:rPr>
                <w:szCs w:val="24"/>
              </w:rPr>
              <w:t>12/A-7</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002D1C79" w:rsidRPr="00615936">
              <w:rPr>
                <w:szCs w:val="24"/>
              </w:rPr>
            </w:r>
            <w:r w:rsidRPr="00615936">
              <w:rPr>
                <w:szCs w:val="24"/>
              </w:rPr>
              <w:fldChar w:fldCharType="separate"/>
            </w:r>
            <w:r w:rsidR="002D1C79">
              <w:rPr>
                <w:szCs w:val="24"/>
              </w:rPr>
              <w:t>6474</w:t>
            </w:r>
            <w:r w:rsidRPr="00615936">
              <w:rPr>
                <w:szCs w:val="24"/>
              </w:rPr>
              <w:fldChar w:fldCharType="end"/>
            </w:r>
            <w:bookmarkEnd w:id="2"/>
          </w:p>
        </w:tc>
      </w:tr>
      <w:tr w:rsidR="002C22B9" w:rsidRPr="00615936" w14:paraId="3DB5ACC4" w14:textId="77777777" w:rsidTr="009F77B9">
        <w:trPr>
          <w:trHeight w:val="188"/>
        </w:trPr>
        <w:tc>
          <w:tcPr>
            <w:tcW w:w="450" w:type="dxa"/>
            <w:tcBorders>
              <w:top w:val="nil"/>
              <w:left w:val="nil"/>
              <w:bottom w:val="nil"/>
              <w:right w:val="nil"/>
            </w:tcBorders>
          </w:tcPr>
          <w:p w14:paraId="7CB4BBD0"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3C96190B"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654B85D9"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1D5AC148" w14:textId="77777777" w:rsidR="002C22B9" w:rsidRPr="00615936" w:rsidRDefault="002C22B9" w:rsidP="002C22B9">
            <w:pPr>
              <w:tabs>
                <w:tab w:val="left" w:pos="360"/>
                <w:tab w:val="left" w:pos="3960"/>
              </w:tabs>
              <w:rPr>
                <w:sz w:val="20"/>
              </w:rPr>
            </w:pPr>
          </w:p>
        </w:tc>
      </w:tr>
      <w:tr w:rsidR="002C22B9" w:rsidRPr="00615936" w14:paraId="7718BE3A" w14:textId="77777777" w:rsidTr="009F77B9">
        <w:tc>
          <w:tcPr>
            <w:tcW w:w="450" w:type="dxa"/>
            <w:tcBorders>
              <w:top w:val="nil"/>
              <w:left w:val="nil"/>
              <w:bottom w:val="nil"/>
              <w:right w:val="nil"/>
            </w:tcBorders>
          </w:tcPr>
          <w:p w14:paraId="7DB1AB39"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2402A99D"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E45DF4">
              <w:rPr>
                <w:szCs w:val="24"/>
              </w:rPr>
              <w:t>19.11.2020</w:t>
            </w:r>
            <w:r w:rsidRPr="00615936">
              <w:rPr>
                <w:szCs w:val="24"/>
              </w:rPr>
              <w:fldChar w:fldCharType="end"/>
            </w:r>
            <w:bookmarkEnd w:id="3"/>
          </w:p>
        </w:tc>
        <w:tc>
          <w:tcPr>
            <w:tcW w:w="708" w:type="dxa"/>
            <w:tcBorders>
              <w:top w:val="nil"/>
              <w:left w:val="nil"/>
              <w:bottom w:val="nil"/>
              <w:right w:val="nil"/>
            </w:tcBorders>
          </w:tcPr>
          <w:p w14:paraId="1531A1E9"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2C1D3220"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E45DF4">
              <w:rPr>
                <w:szCs w:val="24"/>
              </w:rPr>
              <w:t>VSS-996, 46  21§</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33002975" w14:textId="77777777" w:rsidTr="000C0DD4">
        <w:trPr>
          <w:jc w:val="right"/>
        </w:trPr>
        <w:tc>
          <w:tcPr>
            <w:tcW w:w="4644" w:type="dxa"/>
          </w:tcPr>
          <w:p w14:paraId="0B46B7A7" w14:textId="77777777" w:rsidR="000C0DD4" w:rsidRDefault="00E45DF4" w:rsidP="000C0DD4">
            <w:pPr>
              <w:jc w:val="right"/>
              <w:rPr>
                <w:b/>
                <w:bCs/>
                <w:szCs w:val="24"/>
                <w:lang w:eastAsia="lv-LV"/>
              </w:rPr>
            </w:pPr>
            <w:bookmarkStart w:id="5" w:name="org_nos"/>
            <w:r>
              <w:rPr>
                <w:b/>
                <w:bCs/>
                <w:szCs w:val="24"/>
                <w:lang w:eastAsia="lv-LV"/>
              </w:rPr>
              <w:t>Tieslietu ministrijai</w:t>
            </w:r>
          </w:p>
        </w:tc>
      </w:tr>
      <w:bookmarkEnd w:id="5"/>
    </w:tbl>
    <w:p w14:paraId="2843324A"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4503"/>
      </w:tblGrid>
      <w:tr w:rsidR="000C0DD4" w14:paraId="05B14DB2" w14:textId="77777777" w:rsidTr="000C0DD4">
        <w:tc>
          <w:tcPr>
            <w:tcW w:w="4503" w:type="dxa"/>
            <w:tcBorders>
              <w:top w:val="nil"/>
              <w:left w:val="nil"/>
              <w:bottom w:val="nil"/>
              <w:right w:val="nil"/>
            </w:tcBorders>
          </w:tcPr>
          <w:p w14:paraId="34ED10FB" w14:textId="77777777" w:rsidR="000C0DD4" w:rsidRDefault="00E45DF4" w:rsidP="00C04DED">
            <w:pPr>
              <w:jc w:val="left"/>
              <w:rPr>
                <w:i/>
                <w:iCs/>
                <w:szCs w:val="24"/>
                <w:lang w:eastAsia="lv-LV"/>
              </w:rPr>
            </w:pPr>
            <w:r>
              <w:rPr>
                <w:i/>
                <w:iCs/>
                <w:szCs w:val="24"/>
                <w:lang w:eastAsia="lv-LV"/>
              </w:rPr>
              <w:t>Par likumprojektu "Grozījumi Maksātnespējas likumā" (VSS-996)</w:t>
            </w:r>
          </w:p>
        </w:tc>
      </w:tr>
    </w:tbl>
    <w:p w14:paraId="7DFE5757" w14:textId="77777777" w:rsidR="00E04F00" w:rsidRPr="00615936" w:rsidRDefault="00E04F00" w:rsidP="00C04DED">
      <w:pPr>
        <w:jc w:val="left"/>
        <w:rPr>
          <w:szCs w:val="24"/>
        </w:rPr>
      </w:pPr>
    </w:p>
    <w:p w14:paraId="21698EDB" w14:textId="77777777" w:rsidR="006D6710" w:rsidRPr="00615936" w:rsidRDefault="006D6710" w:rsidP="007F3771">
      <w:pPr>
        <w:rPr>
          <w:szCs w:val="24"/>
        </w:rPr>
      </w:pPr>
    </w:p>
    <w:p w14:paraId="1219684D" w14:textId="77777777" w:rsidR="00830AF1" w:rsidRPr="00F10CF4" w:rsidRDefault="00830AF1" w:rsidP="00830AF1">
      <w:pPr>
        <w:ind w:firstLine="720"/>
        <w:rPr>
          <w:szCs w:val="24"/>
        </w:rPr>
      </w:pPr>
      <w:r w:rsidRPr="00F10CF4">
        <w:rPr>
          <w:szCs w:val="24"/>
        </w:rPr>
        <w:t>Finanšu ministrija atbilstoši kompetencei ir izskatījusi Tieslietu ministrijas sagatavoto likumprojektu "Grozījumi Maksātnespējas likumā" (turpmāk – Likumprojekts), tam pievienoto sākotnējās ietekmes novērtējuma ziņojumu (anotāciju) un izsaka šādus iebildumus un priekšlikumus.</w:t>
      </w:r>
    </w:p>
    <w:p w14:paraId="73C31ACD" w14:textId="77777777" w:rsidR="00830AF1" w:rsidRPr="00F10CF4" w:rsidRDefault="00830AF1" w:rsidP="00830AF1">
      <w:pPr>
        <w:ind w:firstLine="720"/>
        <w:rPr>
          <w:szCs w:val="24"/>
        </w:rPr>
      </w:pPr>
      <w:r w:rsidRPr="00F10CF4">
        <w:rPr>
          <w:szCs w:val="24"/>
        </w:rPr>
        <w:t>Iebildumi.</w:t>
      </w:r>
    </w:p>
    <w:p w14:paraId="1EE81998" w14:textId="77777777" w:rsidR="00830AF1" w:rsidRPr="00F10CF4" w:rsidRDefault="00830AF1" w:rsidP="00830AF1">
      <w:pPr>
        <w:pStyle w:val="ListParagraph"/>
        <w:numPr>
          <w:ilvl w:val="0"/>
          <w:numId w:val="1"/>
        </w:numPr>
        <w:tabs>
          <w:tab w:val="left" w:pos="993"/>
        </w:tabs>
        <w:ind w:left="0" w:firstLine="720"/>
        <w:rPr>
          <w:szCs w:val="24"/>
          <w:lang w:eastAsia="lv-LV"/>
        </w:rPr>
      </w:pPr>
      <w:r w:rsidRPr="00F10CF4">
        <w:rPr>
          <w:szCs w:val="24"/>
        </w:rPr>
        <w:t xml:space="preserve">Likumprojekta 1.pantā ir uzskaitītas personas/profesijas pārstāvji, kuri var būt tiesiskās aizsardzības procesa uzraugošās personas, tajā skaitā arī zvērināts revidents. Anotācijas I sadaļas “Tiesību akta projekta izstrādes nepieciešamība” 2.punktā ir norādīts, ka, uzraugošajai personai būtu jābūt personai, kura pilnīgi un vispusīgi izprot privāto tiesību juridisko personu ikdienas norisi, problemātiku un vajadzības, kā arī informēta par to, ka zvērināts revidents, kura atbilstību amata prasībām pārbauda Latvijas Zvērinātu revidentu asociācija, ir tiesīgs sniegt revīzijas pakalpojumus, kas cita starp ietver gada pārskata, arī konsolidētā gada pārskata, pārbaudi (revīziju) un revidenta ziņojuma sniegšanu. Informējam, ka Latvijas Zvērinātu revidentu asociācija (turpmāk –  LZRA) zvērinātu revidentu kvalifikācijas eksāmenu priekšmetu programmās var ietvert jautājumus komercdarbības un maksātnespējas likuma jomās, tomēr tas nenozīmē, ka LZRA apliecina to, ka zvērināts revidents ir kompetents, lai veiktu tiesiskās aizsardzības procesa uzraudzību. Lūdzam anotācijā precizēt minēto skaidrojumu, jo, norādot, ka LZRA pārbauda zvērināta revidenta kompetenci, tiek radīts maldinošs priekšstats, ka LZRA pārbauda zvērināta revidenta kompetenci tiesiskās aizsardzības uzraudzības procesā. Vienlaicīgi vēršam uzmanību, ka Revīzijas pakalpojumu likumā noteiktās kompetences un kvalifikācijas prasības zvērinātam revidentam attiecas uz tādu viņas/viņa kompetences (prasmju) līmeni, kas nepieciešams, lai kvalitatīvi sniegtu revīzijas pakalpojumus, t.i., veiktu klientu gada pārskatu un konsolidēto gada pārskatu revīzijas. Tas pats attiecas uz minētajā likumā minētajām prasībām zvērinātu revidentu pretendentu zināšanu pārbaudei (eksāmenu) noteiktajos priekšmetos, lai LZRA pārliecinātos par pretendenta prasmju  un zināšanas  līmeni novērtēt potenciālā klienta finanšu stāvokli un tā darbības turpināšanu un veiktu kvalitatīvu finanšu revīziju. Latvijā, lai  fiziska persona varētu sniegt revīzijas pakalpojumu, ir nepieciešams zvērināta revidenta sertifikāts, kuru var saņemt tikai Revīzijas pakalpojumu likumā noteiktajā kārtībā. </w:t>
      </w:r>
    </w:p>
    <w:p w14:paraId="492A9E15" w14:textId="77777777" w:rsidR="00830AF1" w:rsidRPr="00F10CF4" w:rsidRDefault="00830AF1" w:rsidP="00830AF1">
      <w:pPr>
        <w:ind w:firstLine="720"/>
        <w:rPr>
          <w:szCs w:val="24"/>
        </w:rPr>
      </w:pPr>
      <w:r w:rsidRPr="00F10CF4">
        <w:rPr>
          <w:szCs w:val="24"/>
        </w:rPr>
        <w:t xml:space="preserve">2. Likumprojekta 1.pantā ir uzskaitīts, ka tiesiskās aizsardzības procesa uzraugošā persona var būt arī grāmatvedis. Savukārt anotācijā ir minēts, ka ņemot vērā, ka amatpersonas, vadītāji un ekonomisti nav vienīgās profesijas uzņēmumos, kam var būt vispusīga un padziļināta izpratne par uzņēmuma procesiem un finanšu rādītājiem, uzskaitījuma noslēgumā norādāms atvērts un </w:t>
      </w:r>
      <w:r w:rsidRPr="00F10CF4">
        <w:rPr>
          <w:szCs w:val="24"/>
        </w:rPr>
        <w:lastRenderedPageBreak/>
        <w:t>vienlaikus specifisks kritērijs (finansists, grāmatvedis vai cits tamlīdzīgs finanšu jomas speciālists). Tas nodrošinās sašaurināšanu uz specifisku jomu, sniedzot konkrētus piemērus (finansists un grāmatvedis), bet neierobežojot par uzraugošo personu iecelt arī citus tamlīdzīgus finanšu jomas speciālistus (piemēram, finanšu konsultantus).</w:t>
      </w:r>
    </w:p>
    <w:p w14:paraId="02FF5882" w14:textId="77777777" w:rsidR="00830AF1" w:rsidRPr="00F10CF4" w:rsidRDefault="00830AF1" w:rsidP="00830AF1">
      <w:pPr>
        <w:ind w:firstLine="720"/>
        <w:rPr>
          <w:szCs w:val="24"/>
        </w:rPr>
      </w:pPr>
      <w:r w:rsidRPr="00F10CF4">
        <w:rPr>
          <w:szCs w:val="24"/>
        </w:rPr>
        <w:t xml:space="preserve">Norādām, ka šobrīd spēkā esošā likuma “Par grāmatvedību” 3.panta trešā daļa nosaka, ka grāmatvedis ir fiziskā persona, kuras kvalifikācija atbilst Ministru kabineta noteiktajai grāmatveža ceturtā vai trešā līmeņa kvalifikācijai un kuras kompetenci apliecina attiecīgs izglītības dokuments (diploms vai apliecība), kā arī tāda fiziskā persona, kuras kompetenci attiecīgajos grāmatvedības jautājumos apliecina pieredze vai atbilstošs sertifikāts un kura veic grāmatveža pienākumus. Savukārt  likumprojekta “Grāmatvedības likums” (Saeimā iesniegts 2020.gada 7.oktobrī) 34.panta otrās daļas 1.punktā ietvertā grāmatveža definīcija paredz, ka  grāmatvedis ir fiziskā persona, kas, pamatojoties uz rakstveida vienošanos ar uzņēmumu (izņemot uzņēmuma līgumu), uzņēmumā veic gada pārskatu, konsolidēto gada pārskatu un citu normatīvajos aktos noteikto finanšu pārskatu sagatavošanu saskaņā ar attiecīgo normatīvo aktu prasībām, kā arī ir kompetenta veikt citus, ar šo likumu noteiktos grāmatvedības kārtošanas pienākumus un kuras kompetenci minētajos grāmatvedības jautājumos apliecina attiecīgs izglītības dokuments (diploms vai apliecība) kā arī tāda fiziskā persona, kuras kompetenci šajā punktā minētajos grāmatvedības jautājumos apliecina pieredze vai iegūts zināšanas apliecinošs atbilstošs sertifikāts grāmatvedības jomā. </w:t>
      </w:r>
    </w:p>
    <w:p w14:paraId="18F334A4" w14:textId="77777777" w:rsidR="00830AF1" w:rsidRPr="00F10CF4" w:rsidRDefault="00830AF1" w:rsidP="00830AF1">
      <w:pPr>
        <w:ind w:firstLine="720"/>
        <w:rPr>
          <w:szCs w:val="24"/>
        </w:rPr>
      </w:pPr>
      <w:r w:rsidRPr="00F10CF4">
        <w:rPr>
          <w:szCs w:val="24"/>
        </w:rPr>
        <w:t>Ņemot vērā to, ka gan likumā “Par grāmatvedību”, gan likumprojektā “Grāmatvedības likums” ir skaidri definēts, kas var būt grāmatvedis, kā arī noteikta viņa kvalifikācija, lūdzam papildināt Likumprojektu vai  anotāciju ar skaidrojumu, ka grāmatvedim, kurš ir tiesīgs būt tiesiskās aizsardzības procesa uzraugošā persona, ir jāatbilst grāmatvedības normatīvajos aktos noteiktajai grāmatveža kvalifikācijai un prasībām.</w:t>
      </w:r>
      <w:r>
        <w:rPr>
          <w:szCs w:val="24"/>
        </w:rPr>
        <w:t xml:space="preserve"> </w:t>
      </w:r>
    </w:p>
    <w:p w14:paraId="45374103" w14:textId="77777777" w:rsidR="00830AF1" w:rsidRPr="00F10CF4" w:rsidRDefault="00830AF1" w:rsidP="00830AF1">
      <w:pPr>
        <w:ind w:firstLine="720"/>
        <w:rPr>
          <w:szCs w:val="24"/>
        </w:rPr>
      </w:pPr>
      <w:r w:rsidRPr="00F10CF4">
        <w:rPr>
          <w:color w:val="1F497D"/>
          <w:szCs w:val="24"/>
        </w:rPr>
        <w:t xml:space="preserve">3. </w:t>
      </w:r>
      <w:r w:rsidRPr="00F10CF4">
        <w:rPr>
          <w:szCs w:val="24"/>
        </w:rPr>
        <w:t>Saskatām, ka praksē varētu rasties jautājums par pievienotās vērtības nodokļa (PVN) piemērošanu attiecībā uz tiesiskās aizsardzības procesa uzraugošās personas atlīdzību, jo Likumprojekts neatrunā šo jautājumu. Līdzšinējā pieredze rāda, ka tādā gadījumā ir nepieciešams skaidri atrunāt Maksātnespējas likumā PVN piemērošanas aspektus, lai izvairītos no regulējuma interpretācijas nepieciešamības. Atzīmējam, ka Likumprojektā tiek paredzēts, ka Maksātnespējas likuma 12.</w:t>
      </w:r>
      <w:r w:rsidRPr="00F10CF4">
        <w:rPr>
          <w:szCs w:val="24"/>
          <w:vertAlign w:val="superscript"/>
        </w:rPr>
        <w:t>3</w:t>
      </w:r>
      <w:r w:rsidRPr="00F10CF4">
        <w:rPr>
          <w:szCs w:val="24"/>
        </w:rPr>
        <w:t xml:space="preserve"> panta pirmā daļa tiek izteikta jaunā redakcijā, nosakot, kādas personas var būt par tiesiskās aizsardzības procesa uzraugošo personu. Šo minēto personu skaitā ir arī administratori. Maksātnespējas likums jau šobrīd nosaka, kāda ir administratora atlīdzība attiecībā uz maksātnespējas procesu un tiesiskās aizsardzības procesu, ja tas ir reģistrēts Valsts ieņēmumu dienesta PVN maksātāju reģistrā. </w:t>
      </w:r>
    </w:p>
    <w:p w14:paraId="73C5DADE" w14:textId="77777777" w:rsidR="00830AF1" w:rsidRPr="00F10CF4" w:rsidRDefault="00830AF1" w:rsidP="00830AF1">
      <w:pPr>
        <w:ind w:firstLine="720"/>
        <w:rPr>
          <w:szCs w:val="24"/>
        </w:rPr>
      </w:pPr>
      <w:r w:rsidRPr="00F10CF4">
        <w:rPr>
          <w:szCs w:val="24"/>
        </w:rPr>
        <w:t xml:space="preserve">Veicot ar PVN apliekamus darījumus, persona reģistrējas Valsts ieņēmumu dienesta PVN </w:t>
      </w:r>
      <w:r>
        <w:rPr>
          <w:szCs w:val="24"/>
        </w:rPr>
        <w:t xml:space="preserve">maksātāju </w:t>
      </w:r>
      <w:r w:rsidRPr="00F10CF4">
        <w:rPr>
          <w:szCs w:val="24"/>
        </w:rPr>
        <w:t xml:space="preserve">reģistrā pirms šo darījumu uzsākšanas. Savukārt, iekšzemes PVN maksātājiem ir tiesības nereģistrēties minētajā reģistrā, ja tās veikto ar PVN apliekamo darījumu kopējā vērtība iepriekšējo 12 mēnešu laikā nepārsniedz 40 000 </w:t>
      </w:r>
      <w:r w:rsidRPr="00F10CF4">
        <w:rPr>
          <w:i/>
          <w:iCs/>
          <w:szCs w:val="24"/>
        </w:rPr>
        <w:t>euro</w:t>
      </w:r>
      <w:r w:rsidRPr="00F10CF4">
        <w:rPr>
          <w:szCs w:val="24"/>
        </w:rPr>
        <w:t xml:space="preserve">. </w:t>
      </w:r>
    </w:p>
    <w:p w14:paraId="086A5B22" w14:textId="77777777" w:rsidR="00830AF1" w:rsidRDefault="00830AF1" w:rsidP="00830AF1">
      <w:pPr>
        <w:ind w:firstLine="720"/>
        <w:rPr>
          <w:szCs w:val="24"/>
        </w:rPr>
      </w:pPr>
      <w:r w:rsidRPr="00F10CF4">
        <w:rPr>
          <w:szCs w:val="24"/>
        </w:rPr>
        <w:t>Līdz ar to lūdzam izvērtēt nepieciešamību papildināt Likumprojektu un anotāciju attiecībā uz PVN piemērošanas aspektu tiesiskās aizsardzības procesa uzraugošās personas atlīdzībai.</w:t>
      </w:r>
    </w:p>
    <w:p w14:paraId="7336CACA" w14:textId="5EB715B5" w:rsidR="00830AF1" w:rsidRDefault="00830AF1" w:rsidP="00830AF1">
      <w:pPr>
        <w:ind w:firstLine="709"/>
      </w:pPr>
      <w:r>
        <w:t>4. Saskaņā ar likuma “Par nodokļiem un nodevām” 29.panta ceturtās daļas 2.punkta “b” un “c” apakšpunktā noteikto komercsabiedrībām, kurām tiesa ierosinājusi tiesiskās aizsardzības procesu, nokavējuma naudas aprēķināšana tiek atjaunota, ja minēto nodokļu maksātāju maksātspēja ir atjaunota no dienas, kad tiesa pieņēmusi nolēmumu par tiesiskās aizsardzības procesa izbeigšanu, izpildot tiesiskās aizsardzības procesa pasākumu plānu, un ja ir noraidīts tiesiskās aizsardzības procesa pieteikums.</w:t>
      </w:r>
    </w:p>
    <w:p w14:paraId="180EA45E" w14:textId="77777777" w:rsidR="00830AF1" w:rsidRDefault="00830AF1" w:rsidP="00830AF1">
      <w:pPr>
        <w:ind w:firstLine="720"/>
      </w:pPr>
      <w:r>
        <w:t>Ar Likumprojekta 9.pantu (attiecībā uz Maksātnespējas likuma 37.panta papildināšanu ar 1.</w:t>
      </w:r>
      <w:r>
        <w:rPr>
          <w:vertAlign w:val="superscript"/>
        </w:rPr>
        <w:t>1</w:t>
      </w:r>
      <w:r>
        <w:t xml:space="preserve"> un 1.</w:t>
      </w:r>
      <w:r>
        <w:rPr>
          <w:vertAlign w:val="superscript"/>
        </w:rPr>
        <w:t xml:space="preserve">2 </w:t>
      </w:r>
      <w:r>
        <w:t xml:space="preserve">daļu) ir paredzēts, ka Maksātnespējas likuma 37.panta pirmās daļas 1., 2., 4., 5., 6., 7., 8. un 9. punktā noteiktās sekas, t.sk. nodokļu prasījumu nokavējuma naudas aprēķināšanas apturēšana, turpmāk būs spēkā divus mēnešus no tiesiskās aizsardzības procesa lietas ierosināšanas, kā arī šo periodu ar tiesas lēmumu varēs pagarināt uz laiku līdz sešiem mēnešiem no tiesas lēmuma par tiesiskās aizsardzības procesa lietas ierosināšanu. </w:t>
      </w:r>
    </w:p>
    <w:p w14:paraId="04C45CBB" w14:textId="77777777" w:rsidR="00830AF1" w:rsidRDefault="00830AF1" w:rsidP="00830AF1">
      <w:pPr>
        <w:ind w:firstLine="720"/>
      </w:pPr>
      <w:r>
        <w:t xml:space="preserve">Ņemot vērā minēto, ir nepieciešams savstarpēji saskaņot minēto regulējumu, veicot attiecīgus grozījumus arī likumā “Par nodokļiem un nodevām”, kad Likumprojekts tiks apstiprināts Saeimā 2.lasījumā. Lūdzam attiecīgi papildināt Likumprojekta anotāciju. </w:t>
      </w:r>
    </w:p>
    <w:p w14:paraId="7C261658" w14:textId="77777777" w:rsidR="00830AF1" w:rsidRDefault="00830AF1" w:rsidP="00830AF1">
      <w:pPr>
        <w:ind w:firstLine="709"/>
      </w:pPr>
      <w:r>
        <w:t xml:space="preserve">5. Saskaņā ar Likumprojekta 11.pantu, ja uz attiecīgo kreditoru pilnībā netiek attiecinātas tiesiskās aizsardzības procesā piemērojamās metodes, tad attiecīgajam kreditoram nav piemērojams kreditora statuss. Līdz ar to skaidrības labad lūdzam papildināt Likumprojekta anotāciju ar aprakstu par minētā regulējuma sekām (piemēram, kreditoram tiesības iesniegt tiesā pieteikumu par tiesiskās aizsardzības procesa izbeigšanu vai saņemt informāciju par procesa gaitu) un par brīdi, ar kuru šāds statuss vairs netiks piemērots kreditoram, kā arī, vai kreditora statuss tiks atjaunots, ja, piemēram, precizējot plānu, tiks paredzēta cita metode, kas tiks attiecināta uz attiecīgo kreditoru. </w:t>
      </w:r>
    </w:p>
    <w:p w14:paraId="5C3438CF" w14:textId="459C6BF1" w:rsidR="00830AF1" w:rsidRPr="00185BE3" w:rsidRDefault="00830AF1" w:rsidP="00830AF1">
      <w:pPr>
        <w:tabs>
          <w:tab w:val="left" w:pos="709"/>
        </w:tabs>
        <w:rPr>
          <w:szCs w:val="24"/>
        </w:rPr>
      </w:pPr>
      <w:r>
        <w:tab/>
        <w:t xml:space="preserve">6. </w:t>
      </w:r>
      <w:r w:rsidRPr="00185BE3">
        <w:rPr>
          <w:szCs w:val="24"/>
          <w:lang w:eastAsia="lv-LV"/>
        </w:rPr>
        <w:t xml:space="preserve">Uz doto brīdi atbilstoši </w:t>
      </w:r>
      <w:r w:rsidRPr="00185BE3">
        <w:rPr>
          <w:szCs w:val="24"/>
        </w:rPr>
        <w:t xml:space="preserve">Maksātnespējas likuma 51.panta trešajai daļai </w:t>
      </w:r>
      <w:r w:rsidRPr="00F10CF4">
        <w:rPr>
          <w:szCs w:val="24"/>
          <w:lang w:eastAsia="lv-LV"/>
        </w:rPr>
        <w:t xml:space="preserve">tiesiskās aizsardzības procesa </w:t>
      </w:r>
      <w:r>
        <w:rPr>
          <w:szCs w:val="24"/>
          <w:lang w:eastAsia="lv-LV"/>
        </w:rPr>
        <w:t xml:space="preserve">(turpmāk – </w:t>
      </w:r>
      <w:r w:rsidRPr="00185BE3">
        <w:rPr>
          <w:szCs w:val="24"/>
        </w:rPr>
        <w:t>TAP</w:t>
      </w:r>
      <w:r>
        <w:rPr>
          <w:szCs w:val="24"/>
        </w:rPr>
        <w:t>)</w:t>
      </w:r>
      <w:r w:rsidRPr="00185BE3">
        <w:rPr>
          <w:szCs w:val="24"/>
        </w:rPr>
        <w:t xml:space="preserve"> uzraugošajai personai ir pienākums nekavējoties informēt kreditorus par normā minētajiem gadījumiem, savukārt saskaņ</w:t>
      </w:r>
      <w:r w:rsidR="006474D5">
        <w:rPr>
          <w:szCs w:val="24"/>
        </w:rPr>
        <w:t>ā</w:t>
      </w:r>
      <w:r w:rsidRPr="00185BE3">
        <w:rPr>
          <w:szCs w:val="24"/>
        </w:rPr>
        <w:t xml:space="preserve"> ar minētā panta otrās daļas 2. un 3.punktu tas ir kā priekšnosacījums kreditoram iesniegt tiesā pieteikumu par TAP izbeigšanu un juridiskās personas maksātnespējas procesa pasludināšanu.</w:t>
      </w:r>
    </w:p>
    <w:p w14:paraId="5A744D5E" w14:textId="77777777" w:rsidR="00830AF1" w:rsidRPr="00185BE3" w:rsidRDefault="00830AF1" w:rsidP="00830AF1">
      <w:pPr>
        <w:pStyle w:val="ListParagraph"/>
        <w:tabs>
          <w:tab w:val="left" w:pos="2127"/>
          <w:tab w:val="left" w:pos="6096"/>
        </w:tabs>
        <w:ind w:left="0" w:firstLine="709"/>
        <w:rPr>
          <w:szCs w:val="24"/>
        </w:rPr>
      </w:pPr>
      <w:r w:rsidRPr="00F10CF4">
        <w:rPr>
          <w:szCs w:val="24"/>
        </w:rPr>
        <w:t>No Maksātnespējas likuma, tostarp Likumprojekta 21.pantā ietvertā 51.panta trešās daļas grozījumiem secināms, ka varētu būt situācijas, kad uzraugošā persona nav iecelta. Savukārt neesot uzraugošajai personai nevar tikt izpildīts Maksātnespējas likuma 51.panta trešajā daļā noteiktais. Ievērojot minēto, ierosinām izvērtēt iespēju izdarīt atbilstošus precizējumus Likumprojektā, t.i., konkretizēt kreditora tiesības, konstatējot Maksātnespējas likuma 51.panta trešajā daļā minētos priekšnosacījumus iesniegt tiesā pieteikumu par TAP izbeigšanu un juridiskās personas maksātnespējas procesa pasludināšanu, neatkarīgi no tā, vai par attiecīgajiem gadījumiem ir informējusi uzraugošā persona.</w:t>
      </w:r>
      <w:r>
        <w:rPr>
          <w:szCs w:val="24"/>
        </w:rPr>
        <w:t xml:space="preserve"> </w:t>
      </w:r>
    </w:p>
    <w:p w14:paraId="3AC8E5C4" w14:textId="77777777" w:rsidR="00830AF1" w:rsidRPr="00F10CF4" w:rsidRDefault="00830AF1" w:rsidP="00830AF1">
      <w:pPr>
        <w:ind w:firstLine="720"/>
        <w:rPr>
          <w:szCs w:val="24"/>
        </w:rPr>
      </w:pPr>
      <w:r w:rsidRPr="00F10CF4">
        <w:rPr>
          <w:szCs w:val="24"/>
        </w:rPr>
        <w:t>Priekšlikumi.</w:t>
      </w:r>
    </w:p>
    <w:p w14:paraId="48236925" w14:textId="77777777" w:rsidR="00830AF1" w:rsidRPr="00F10CF4" w:rsidRDefault="00830AF1" w:rsidP="00830AF1">
      <w:pPr>
        <w:pStyle w:val="ListParagraph"/>
        <w:numPr>
          <w:ilvl w:val="0"/>
          <w:numId w:val="2"/>
        </w:numPr>
        <w:tabs>
          <w:tab w:val="left" w:pos="1134"/>
          <w:tab w:val="left" w:pos="6096"/>
        </w:tabs>
        <w:ind w:left="0" w:firstLine="774"/>
        <w:rPr>
          <w:szCs w:val="24"/>
          <w:lang w:eastAsia="lv-LV"/>
        </w:rPr>
      </w:pPr>
      <w:r w:rsidRPr="00F10CF4">
        <w:rPr>
          <w:szCs w:val="24"/>
          <w:lang w:eastAsia="lv-LV"/>
        </w:rPr>
        <w:t>Likumprojekta 9.panta trešā daļa paredz Maksātnespējas likuma 37.pantu papildināt ar 1.</w:t>
      </w:r>
      <w:r w:rsidRPr="00F10CF4">
        <w:rPr>
          <w:szCs w:val="24"/>
          <w:vertAlign w:val="superscript"/>
          <w:lang w:eastAsia="lv-LV"/>
        </w:rPr>
        <w:t>1</w:t>
      </w:r>
      <w:r w:rsidRPr="00F10CF4">
        <w:rPr>
          <w:szCs w:val="24"/>
          <w:lang w:eastAsia="lv-LV"/>
        </w:rPr>
        <w:t xml:space="preserve"> un 1.</w:t>
      </w:r>
      <w:r w:rsidRPr="00F10CF4">
        <w:rPr>
          <w:szCs w:val="24"/>
          <w:vertAlign w:val="superscript"/>
          <w:lang w:eastAsia="lv-LV"/>
        </w:rPr>
        <w:t>2</w:t>
      </w:r>
      <w:r w:rsidRPr="00F10CF4">
        <w:rPr>
          <w:szCs w:val="24"/>
          <w:lang w:eastAsia="lv-LV"/>
        </w:rPr>
        <w:t xml:space="preserve"> daļu, atbilstoši kurām 37.panta pirmās  daļas 1., 2., 4., 5., 6., 7., 8. un 9. punktā noteiktās sekas ir spēkā divus mēnešus no tiesiskās aizsardzības procesa lietas ierosināšanas. Savukārt grozījumu 37.panta 1.</w:t>
      </w:r>
      <w:r w:rsidRPr="00F10CF4">
        <w:rPr>
          <w:szCs w:val="24"/>
          <w:vertAlign w:val="superscript"/>
          <w:lang w:eastAsia="lv-LV"/>
        </w:rPr>
        <w:t>2</w:t>
      </w:r>
      <w:r w:rsidRPr="00F10CF4">
        <w:rPr>
          <w:szCs w:val="24"/>
          <w:lang w:eastAsia="lv-LV"/>
        </w:rPr>
        <w:t xml:space="preserve">  daļa paredz ar tiesas lēmumu šo termiņu pagarināt uz laiku līdz sešiem mēnešiem no tiesas lēmuma par TAP lietas ierosināšanu. </w:t>
      </w:r>
    </w:p>
    <w:p w14:paraId="11857B39" w14:textId="77777777" w:rsidR="00830AF1" w:rsidRDefault="00830AF1" w:rsidP="00830AF1">
      <w:pPr>
        <w:tabs>
          <w:tab w:val="left" w:pos="851"/>
          <w:tab w:val="left" w:pos="6096"/>
        </w:tabs>
        <w:rPr>
          <w:szCs w:val="24"/>
        </w:rPr>
      </w:pPr>
      <w:r w:rsidRPr="00F10CF4">
        <w:rPr>
          <w:szCs w:val="24"/>
        </w:rPr>
        <w:tab/>
        <w:t xml:space="preserve">Lai izvairītos, ka TAP mērķis varētu būt tikai saņemt izpildu darbību apturēšanu, nevis saglabāt vai atjaunot parādnieka maksātspēju, kreditoriem varētu būt pieļaujams sniegt iebildumus par parādnieka piedāvājumu pagarināt TAP pasākumu plāna izstrādi līdz sešiem mēnešiem. Tādējādi </w:t>
      </w:r>
      <w:r w:rsidRPr="00F10CF4">
        <w:rPr>
          <w:szCs w:val="24"/>
          <w:lang w:eastAsia="lv-LV"/>
        </w:rPr>
        <w:t>ierosinām izvērtēt iespēju izdarīt atbilstošus precizējumus Likumprojektā</w:t>
      </w:r>
      <w:r w:rsidRPr="00F10CF4">
        <w:rPr>
          <w:szCs w:val="24"/>
        </w:rPr>
        <w:t xml:space="preserve">. </w:t>
      </w:r>
    </w:p>
    <w:p w14:paraId="276B7253" w14:textId="62544BF3" w:rsidR="0015384D" w:rsidRPr="00830AF1" w:rsidRDefault="00830AF1" w:rsidP="007F3771">
      <w:pPr>
        <w:pStyle w:val="ListParagraph"/>
        <w:numPr>
          <w:ilvl w:val="0"/>
          <w:numId w:val="2"/>
        </w:numPr>
        <w:tabs>
          <w:tab w:val="left" w:pos="851"/>
        </w:tabs>
        <w:ind w:left="0" w:firstLine="851"/>
        <w:rPr>
          <w:szCs w:val="24"/>
        </w:rPr>
      </w:pPr>
      <w:r w:rsidRPr="00F10CF4">
        <w:rPr>
          <w:szCs w:val="24"/>
        </w:rPr>
        <w:t>Ierosinām precizēt Likumprojekta 19.pantā ietvertā 49.panta trešās daļas 4.punkta redakciju, jo no esošās redakcijas nav saprotams, kā parādnieks var sniegt ziņas tiesiskās aizsardzības procesa uzraugošajai personai, ja šāda persona nav iecelta.</w:t>
      </w:r>
      <w:r>
        <w:rPr>
          <w:szCs w:val="24"/>
        </w:rPr>
        <w:t xml:space="preserve"> </w:t>
      </w:r>
    </w:p>
    <w:p w14:paraId="600D974B" w14:textId="77777777" w:rsidR="00557B49" w:rsidRPr="00615936" w:rsidRDefault="00557B49" w:rsidP="007F3771">
      <w:pPr>
        <w:rPr>
          <w:szCs w:val="24"/>
        </w:rPr>
      </w:pPr>
    </w:p>
    <w:p w14:paraId="0471FA7B" w14:textId="77777777" w:rsidR="00557B49" w:rsidRPr="00615936" w:rsidRDefault="00557B49" w:rsidP="007F3771">
      <w:pPr>
        <w:rPr>
          <w:szCs w:val="24"/>
        </w:rPr>
      </w:pPr>
    </w:p>
    <w:p w14:paraId="23A2F92E" w14:textId="77777777" w:rsidR="003F2252" w:rsidRPr="00615936" w:rsidRDefault="003F2252" w:rsidP="007F3771">
      <w:pPr>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14:paraId="765280F7" w14:textId="77777777" w:rsidTr="00AA6DC1">
        <w:tc>
          <w:tcPr>
            <w:tcW w:w="4395" w:type="dxa"/>
          </w:tcPr>
          <w:p w14:paraId="3E3E31E7" w14:textId="77777777" w:rsidR="00AA6DC1" w:rsidRPr="00615936" w:rsidRDefault="00E45DF4" w:rsidP="007F3771">
            <w:pPr>
              <w:rPr>
                <w:szCs w:val="24"/>
              </w:rPr>
            </w:pPr>
            <w:r>
              <w:rPr>
                <w:szCs w:val="24"/>
              </w:rPr>
              <w:t>Administrācijas vadītāja</w:t>
            </w:r>
          </w:p>
        </w:tc>
        <w:tc>
          <w:tcPr>
            <w:tcW w:w="1984" w:type="dxa"/>
          </w:tcPr>
          <w:p w14:paraId="730D3CBD" w14:textId="77777777" w:rsidR="00AA6DC1" w:rsidRDefault="00AA6DC1" w:rsidP="00AA6DC1">
            <w:pPr>
              <w:jc w:val="center"/>
              <w:rPr>
                <w:szCs w:val="24"/>
              </w:rPr>
            </w:pPr>
            <w:bookmarkStart w:id="6" w:name="edoc_info2"/>
            <w:r>
              <w:rPr>
                <w:szCs w:val="24"/>
              </w:rPr>
              <w:t>(paraksts*)</w:t>
            </w:r>
            <w:bookmarkEnd w:id="6"/>
          </w:p>
        </w:tc>
        <w:tc>
          <w:tcPr>
            <w:tcW w:w="2977" w:type="dxa"/>
            <w:vAlign w:val="bottom"/>
          </w:tcPr>
          <w:p w14:paraId="5DE005FC" w14:textId="77777777" w:rsidR="00AA6DC1" w:rsidRPr="00615936" w:rsidRDefault="00E45DF4" w:rsidP="00483407">
            <w:pPr>
              <w:jc w:val="right"/>
              <w:rPr>
                <w:szCs w:val="24"/>
              </w:rPr>
            </w:pPr>
            <w:r>
              <w:rPr>
                <w:szCs w:val="24"/>
              </w:rPr>
              <w:t>I.Braunfelde</w:t>
            </w:r>
          </w:p>
        </w:tc>
      </w:tr>
      <w:tr w:rsidR="00AA6DC1" w:rsidRPr="00615936" w14:paraId="7247B9D0" w14:textId="77777777" w:rsidTr="00AA6DC1">
        <w:tc>
          <w:tcPr>
            <w:tcW w:w="4395" w:type="dxa"/>
          </w:tcPr>
          <w:p w14:paraId="562A7D90" w14:textId="77777777" w:rsidR="00AA6DC1" w:rsidRPr="00615936" w:rsidRDefault="00AA6DC1" w:rsidP="007F3771">
            <w:pPr>
              <w:rPr>
                <w:szCs w:val="24"/>
              </w:rPr>
            </w:pPr>
          </w:p>
        </w:tc>
        <w:tc>
          <w:tcPr>
            <w:tcW w:w="1984" w:type="dxa"/>
          </w:tcPr>
          <w:p w14:paraId="371FE4A4" w14:textId="77777777" w:rsidR="00AA6DC1" w:rsidRPr="00615936" w:rsidRDefault="00AA6DC1" w:rsidP="000C0DD4">
            <w:pPr>
              <w:jc w:val="right"/>
              <w:rPr>
                <w:szCs w:val="24"/>
              </w:rPr>
            </w:pPr>
          </w:p>
        </w:tc>
        <w:tc>
          <w:tcPr>
            <w:tcW w:w="2977" w:type="dxa"/>
            <w:vAlign w:val="bottom"/>
          </w:tcPr>
          <w:p w14:paraId="5D932D8F"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rsidRPr="00D95B81" w14:paraId="3A5B14F5" w14:textId="77777777" w:rsidTr="00AA6DC1">
        <w:trPr>
          <w:cantSplit/>
          <w:trHeight w:val="615"/>
        </w:trPr>
        <w:tc>
          <w:tcPr>
            <w:tcW w:w="8647" w:type="dxa"/>
          </w:tcPr>
          <w:p w14:paraId="44B04BDC" w14:textId="77777777" w:rsidR="002D6CB4" w:rsidRPr="00FA460E" w:rsidRDefault="00AA6DC1" w:rsidP="00AA6DC1">
            <w:pPr>
              <w:pStyle w:val="BodyTextIndent"/>
              <w:tabs>
                <w:tab w:val="left" w:pos="8397"/>
              </w:tabs>
              <w:ind w:left="0"/>
              <w:rPr>
                <w:sz w:val="24"/>
                <w:szCs w:val="24"/>
              </w:rPr>
            </w:pPr>
            <w:bookmarkStart w:id="7" w:name="edoc_info" w:colFirst="0" w:colLast="0"/>
            <w:r w:rsidRPr="00FA460E">
              <w:rPr>
                <w:sz w:val="24"/>
                <w:szCs w:val="24"/>
              </w:rPr>
              <w:t>*Dokuments ir parakstīts ar drošu elektronisko parakstu</w:t>
            </w:r>
          </w:p>
        </w:tc>
      </w:tr>
    </w:tbl>
    <w:bookmarkEnd w:id="7"/>
    <w:p w14:paraId="388B0DC4" w14:textId="77777777" w:rsidR="00830AF1" w:rsidRPr="00D95B81" w:rsidRDefault="00830AF1" w:rsidP="00830AF1">
      <w:pPr>
        <w:rPr>
          <w:sz w:val="20"/>
        </w:rPr>
      </w:pPr>
      <w:r w:rsidRPr="00D95B81">
        <w:rPr>
          <w:sz w:val="20"/>
        </w:rPr>
        <w:t xml:space="preserve">Sevele 67095451, </w:t>
      </w:r>
    </w:p>
    <w:p w14:paraId="499BF2F1" w14:textId="77777777" w:rsidR="00830AF1" w:rsidRPr="00D95B81" w:rsidRDefault="002D1C79" w:rsidP="00830AF1">
      <w:pPr>
        <w:rPr>
          <w:rStyle w:val="Hyperlink"/>
          <w:color w:val="auto"/>
          <w:sz w:val="20"/>
        </w:rPr>
      </w:pPr>
      <w:hyperlink r:id="rId8" w:history="1">
        <w:r w:rsidR="00830AF1" w:rsidRPr="00D95B81">
          <w:rPr>
            <w:rStyle w:val="Hyperlink"/>
            <w:color w:val="auto"/>
            <w:sz w:val="20"/>
          </w:rPr>
          <w:t>Ilze.Sevele@fm.gov.lv</w:t>
        </w:r>
      </w:hyperlink>
      <w:r w:rsidR="00830AF1" w:rsidRPr="00D95B81">
        <w:rPr>
          <w:rStyle w:val="Hyperlink"/>
          <w:color w:val="auto"/>
          <w:sz w:val="20"/>
        </w:rPr>
        <w:t>;</w:t>
      </w:r>
    </w:p>
    <w:p w14:paraId="7EC3E01D" w14:textId="77777777" w:rsidR="00830AF1" w:rsidRPr="00D95B81" w:rsidRDefault="00830AF1" w:rsidP="00830AF1">
      <w:pPr>
        <w:rPr>
          <w:rStyle w:val="Hyperlink"/>
          <w:color w:val="auto"/>
          <w:sz w:val="20"/>
          <w:u w:val="none"/>
        </w:rPr>
      </w:pPr>
      <w:r w:rsidRPr="00D95B81">
        <w:rPr>
          <w:rStyle w:val="Hyperlink"/>
          <w:color w:val="auto"/>
          <w:sz w:val="20"/>
          <w:u w:val="none"/>
        </w:rPr>
        <w:t xml:space="preserve">Bolšteins </w:t>
      </w:r>
      <w:r w:rsidRPr="00D95B81">
        <w:rPr>
          <w:sz w:val="20"/>
        </w:rPr>
        <w:t>67083920</w:t>
      </w:r>
    </w:p>
    <w:p w14:paraId="3B79AD33" w14:textId="77777777" w:rsidR="00830AF1" w:rsidRPr="00D95B81" w:rsidRDefault="002D1C79" w:rsidP="00830AF1">
      <w:pPr>
        <w:rPr>
          <w:sz w:val="20"/>
        </w:rPr>
      </w:pPr>
      <w:hyperlink r:id="rId9" w:history="1">
        <w:r w:rsidR="00830AF1" w:rsidRPr="00D95B81">
          <w:rPr>
            <w:rStyle w:val="Hyperlink"/>
            <w:sz w:val="20"/>
          </w:rPr>
          <w:t>Janis.Bolsteins@fm.gov.lv</w:t>
        </w:r>
      </w:hyperlink>
      <w:r w:rsidR="00830AF1" w:rsidRPr="00D95B81">
        <w:rPr>
          <w:sz w:val="20"/>
        </w:rPr>
        <w:t>;</w:t>
      </w:r>
    </w:p>
    <w:p w14:paraId="45F65053" w14:textId="77777777" w:rsidR="00830AF1" w:rsidRPr="00D95B81" w:rsidRDefault="00830AF1" w:rsidP="00830AF1">
      <w:pPr>
        <w:rPr>
          <w:sz w:val="20"/>
        </w:rPr>
      </w:pPr>
      <w:r w:rsidRPr="00D95B81">
        <w:rPr>
          <w:sz w:val="20"/>
        </w:rPr>
        <w:t>Leimane 67095513</w:t>
      </w:r>
    </w:p>
    <w:p w14:paraId="15744EFB" w14:textId="77777777" w:rsidR="00830AF1" w:rsidRPr="00D95B81" w:rsidRDefault="002D1C79" w:rsidP="00830AF1">
      <w:pPr>
        <w:rPr>
          <w:sz w:val="20"/>
          <w:u w:val="single"/>
        </w:rPr>
      </w:pPr>
      <w:hyperlink r:id="rId10" w:history="1">
        <w:r w:rsidR="00830AF1" w:rsidRPr="00D95B81">
          <w:rPr>
            <w:rStyle w:val="Hyperlink"/>
            <w:sz w:val="20"/>
          </w:rPr>
          <w:t>Dace.Leimane@fm.gov.lv</w:t>
        </w:r>
      </w:hyperlink>
      <w:r w:rsidR="00830AF1" w:rsidRPr="00D95B81">
        <w:rPr>
          <w:sz w:val="20"/>
          <w:u w:val="single"/>
        </w:rPr>
        <w:t>;</w:t>
      </w:r>
    </w:p>
    <w:p w14:paraId="2A06A9F5" w14:textId="77777777" w:rsidR="00830AF1" w:rsidRPr="00D95B81" w:rsidRDefault="00830AF1" w:rsidP="00830AF1">
      <w:pPr>
        <w:tabs>
          <w:tab w:val="left" w:pos="6804"/>
        </w:tabs>
        <w:ind w:right="-284"/>
        <w:rPr>
          <w:sz w:val="20"/>
        </w:rPr>
      </w:pPr>
      <w:r w:rsidRPr="00D95B81">
        <w:rPr>
          <w:sz w:val="20"/>
        </w:rPr>
        <w:t>Buša 67121664</w:t>
      </w:r>
    </w:p>
    <w:p w14:paraId="5CB2ED60" w14:textId="5F881A82" w:rsidR="00830AF1" w:rsidRPr="00D95B81" w:rsidRDefault="002D1C79" w:rsidP="00830AF1">
      <w:pPr>
        <w:tabs>
          <w:tab w:val="left" w:pos="6804"/>
        </w:tabs>
        <w:ind w:right="-284"/>
        <w:rPr>
          <w:rStyle w:val="Hyperlink"/>
          <w:sz w:val="20"/>
        </w:rPr>
      </w:pPr>
      <w:hyperlink r:id="rId11" w:history="1">
        <w:r w:rsidR="00830AF1" w:rsidRPr="00D95B81">
          <w:rPr>
            <w:rStyle w:val="Hyperlink"/>
            <w:sz w:val="20"/>
          </w:rPr>
          <w:t>Kristine.Busa@vid.gov.lv</w:t>
        </w:r>
      </w:hyperlink>
      <w:r w:rsidR="00EF6FEE">
        <w:rPr>
          <w:rStyle w:val="Hyperlink"/>
          <w:sz w:val="20"/>
        </w:rPr>
        <w:t>;</w:t>
      </w:r>
    </w:p>
    <w:p w14:paraId="57495FC1" w14:textId="77777777" w:rsidR="00830AF1" w:rsidRPr="00D95B81" w:rsidRDefault="00830AF1" w:rsidP="00830AF1">
      <w:pPr>
        <w:tabs>
          <w:tab w:val="left" w:pos="6804"/>
        </w:tabs>
        <w:ind w:right="-284"/>
        <w:rPr>
          <w:sz w:val="20"/>
        </w:rPr>
      </w:pPr>
      <w:r w:rsidRPr="00D95B81">
        <w:rPr>
          <w:sz w:val="20"/>
        </w:rPr>
        <w:t>Voiniča 67095567</w:t>
      </w:r>
    </w:p>
    <w:p w14:paraId="1D7A8F90" w14:textId="34EB4DD3" w:rsidR="000C0DD4" w:rsidRPr="00D95B81" w:rsidRDefault="002D1C79" w:rsidP="00830AF1">
      <w:pPr>
        <w:rPr>
          <w:sz w:val="20"/>
        </w:rPr>
      </w:pPr>
      <w:hyperlink r:id="rId12" w:history="1">
        <w:r w:rsidR="00830AF1" w:rsidRPr="00D95B81">
          <w:rPr>
            <w:rStyle w:val="Hyperlink"/>
            <w:sz w:val="20"/>
          </w:rPr>
          <w:t>Kristine.Voinica@fm.gov.lv</w:t>
        </w:r>
      </w:hyperlink>
    </w:p>
    <w:sectPr w:rsidR="000C0DD4" w:rsidRPr="00D95B81" w:rsidSect="002C22B9">
      <w:headerReference w:type="even" r:id="rId13"/>
      <w:headerReference w:type="default" r:id="rId14"/>
      <w:footerReference w:type="even" r:id="rId15"/>
      <w:footerReference w:type="default" r:id="rId16"/>
      <w:headerReference w:type="first" r:id="rId17"/>
      <w:footerReference w:type="first" r:id="rId18"/>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015BA2" w14:textId="77777777" w:rsidR="00626C2B" w:rsidRDefault="00626C2B">
      <w:r>
        <w:separator/>
      </w:r>
    </w:p>
  </w:endnote>
  <w:endnote w:type="continuationSeparator" w:id="0">
    <w:p w14:paraId="0C32F900" w14:textId="77777777" w:rsidR="00626C2B" w:rsidRDefault="00626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D48F2"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722951"/>
      <w:docPartObj>
        <w:docPartGallery w:val="Page Numbers (Bottom of Page)"/>
        <w:docPartUnique/>
      </w:docPartObj>
    </w:sdtPr>
    <w:sdtEndPr/>
    <w:sdtContent>
      <w:p w14:paraId="66C3388A"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0C0DD4">
          <w:rPr>
            <w:noProof/>
            <w:sz w:val="24"/>
            <w:szCs w:val="24"/>
          </w:rPr>
          <w:t>2</w:t>
        </w:r>
        <w:r w:rsidRPr="00557B49">
          <w:rPr>
            <w:sz w:val="24"/>
            <w:szCs w:val="24"/>
          </w:rPr>
          <w:fldChar w:fldCharType="end"/>
        </w:r>
      </w:p>
    </w:sdtContent>
  </w:sdt>
  <w:p w14:paraId="6A5CF39A" w14:textId="77777777"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A326E" w14:textId="77777777" w:rsidR="0015384D" w:rsidRDefault="0015384D">
    <w:pPr>
      <w:pStyle w:val="Footer"/>
      <w:jc w:val="center"/>
    </w:pPr>
  </w:p>
  <w:p w14:paraId="49DD6A4C"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2F652" w14:textId="77777777" w:rsidR="00626C2B" w:rsidRDefault="00626C2B">
      <w:r>
        <w:separator/>
      </w:r>
    </w:p>
  </w:footnote>
  <w:footnote w:type="continuationSeparator" w:id="0">
    <w:p w14:paraId="74A7168C" w14:textId="77777777" w:rsidR="00626C2B" w:rsidRDefault="00626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E09B9"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51F7A52B"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F2E8A"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29BBB" w14:textId="77777777" w:rsidR="002C22B9" w:rsidRDefault="002C22B9">
    <w:pPr>
      <w:pStyle w:val="Header"/>
    </w:pPr>
  </w:p>
  <w:p w14:paraId="1F4D3897" w14:textId="77777777" w:rsidR="002C22B9" w:rsidRDefault="002C22B9">
    <w:pPr>
      <w:pStyle w:val="Header"/>
    </w:pPr>
  </w:p>
  <w:p w14:paraId="7080C2A8" w14:textId="77777777" w:rsidR="002C22B9" w:rsidRDefault="002C22B9">
    <w:pPr>
      <w:pStyle w:val="Header"/>
    </w:pPr>
  </w:p>
  <w:p w14:paraId="16B8A404"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12C1F86A" wp14:editId="3663AD29">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C3756"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1F86A"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0C4C3756"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28F6CFA5" wp14:editId="1F88A6F0">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78E008" w14:textId="77777777" w:rsidR="002C22B9" w:rsidRDefault="002C22B9">
    <w:pPr>
      <w:pStyle w:val="Header"/>
    </w:pPr>
  </w:p>
  <w:p w14:paraId="6C375DAF" w14:textId="77777777" w:rsidR="002C22B9" w:rsidRDefault="002C22B9">
    <w:pPr>
      <w:pStyle w:val="Header"/>
    </w:pPr>
  </w:p>
  <w:p w14:paraId="2311E70E" w14:textId="77777777" w:rsidR="002C22B9" w:rsidRDefault="002C22B9">
    <w:pPr>
      <w:pStyle w:val="Header"/>
    </w:pPr>
  </w:p>
  <w:p w14:paraId="00D9CDE5" w14:textId="77777777" w:rsidR="002C22B9" w:rsidRDefault="002C22B9">
    <w:pPr>
      <w:pStyle w:val="Header"/>
    </w:pPr>
  </w:p>
  <w:p w14:paraId="3EBC7A72" w14:textId="77777777" w:rsidR="002C22B9" w:rsidRDefault="002C22B9">
    <w:pPr>
      <w:pStyle w:val="Header"/>
    </w:pPr>
  </w:p>
  <w:p w14:paraId="5FB2405A" w14:textId="77777777" w:rsidR="002C22B9" w:rsidRDefault="002C22B9">
    <w:pPr>
      <w:pStyle w:val="Header"/>
    </w:pPr>
  </w:p>
  <w:p w14:paraId="545BB94D"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58790F4A" wp14:editId="374C7C60">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5DE09B6F" w14:textId="77777777" w:rsidR="002C22B9" w:rsidRDefault="002C22B9">
    <w:pPr>
      <w:pStyle w:val="Header"/>
    </w:pPr>
  </w:p>
  <w:p w14:paraId="0CB7D0B6" w14:textId="77777777" w:rsidR="002C22B9" w:rsidRDefault="002C22B9">
    <w:pPr>
      <w:pStyle w:val="Header"/>
    </w:pPr>
  </w:p>
  <w:p w14:paraId="02CE925D"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B45501"/>
    <w:multiLevelType w:val="hybridMultilevel"/>
    <w:tmpl w:val="F9D62812"/>
    <w:lvl w:ilvl="0" w:tplc="211C9F9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68846F79"/>
    <w:multiLevelType w:val="hybridMultilevel"/>
    <w:tmpl w:val="A636E63C"/>
    <w:lvl w:ilvl="0" w:tplc="CC14AE3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2D0"/>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1C79"/>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2A5C"/>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C0FCB"/>
    <w:rsid w:val="005D7171"/>
    <w:rsid w:val="005E3D1E"/>
    <w:rsid w:val="005F3139"/>
    <w:rsid w:val="00613984"/>
    <w:rsid w:val="00615936"/>
    <w:rsid w:val="006205B8"/>
    <w:rsid w:val="00622CFD"/>
    <w:rsid w:val="006240D2"/>
    <w:rsid w:val="00626C2B"/>
    <w:rsid w:val="00636996"/>
    <w:rsid w:val="00642EE6"/>
    <w:rsid w:val="00643F3C"/>
    <w:rsid w:val="006474D5"/>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487B"/>
    <w:rsid w:val="00826D51"/>
    <w:rsid w:val="00830AF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95B81"/>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2B2C"/>
    <w:rsid w:val="00E13483"/>
    <w:rsid w:val="00E15F9B"/>
    <w:rsid w:val="00E25982"/>
    <w:rsid w:val="00E3743F"/>
    <w:rsid w:val="00E44ADB"/>
    <w:rsid w:val="00E45DF4"/>
    <w:rsid w:val="00E71316"/>
    <w:rsid w:val="00E95294"/>
    <w:rsid w:val="00EA7310"/>
    <w:rsid w:val="00EB1825"/>
    <w:rsid w:val="00EB2C30"/>
    <w:rsid w:val="00EE1908"/>
    <w:rsid w:val="00EF2339"/>
    <w:rsid w:val="00EF6FEE"/>
    <w:rsid w:val="00F06A13"/>
    <w:rsid w:val="00F14918"/>
    <w:rsid w:val="00F220D5"/>
    <w:rsid w:val="00F33DBE"/>
    <w:rsid w:val="00F33E54"/>
    <w:rsid w:val="00F35615"/>
    <w:rsid w:val="00F365B1"/>
    <w:rsid w:val="00F37820"/>
    <w:rsid w:val="00F462A6"/>
    <w:rsid w:val="00F56E2F"/>
    <w:rsid w:val="00F62E54"/>
    <w:rsid w:val="00F84ADE"/>
    <w:rsid w:val="00F949B7"/>
    <w:rsid w:val="00F952BC"/>
    <w:rsid w:val="00FA460E"/>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47A1F7E"/>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0A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Sevele@fm.gov.lv"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ristine.Voinica@fm.gov.lv"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istine.Busa@vid.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ace.Leimane@fm.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anis.Bolsteins@fm.gov.lv"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30024-E6EF-4C50-B4AC-FC54616EF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7131</Words>
  <Characters>4065</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11174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likumprojektu "Grozījumi Maksātnespējas likumā</dc:subject>
  <dc:creator>Sevele I.</dc:creator>
  <dc:description>Sagatavots ALS E-aprites vidē.</dc:description>
  <cp:lastModifiedBy>Ieva Braunfelde</cp:lastModifiedBy>
  <cp:revision>11</cp:revision>
  <cp:lastPrinted>2007-06-25T10:49:00Z</cp:lastPrinted>
  <dcterms:created xsi:type="dcterms:W3CDTF">2020-12-07T09:06:00Z</dcterms:created>
  <dcterms:modified xsi:type="dcterms:W3CDTF">2020-12-07T11:59:00Z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MarkAsFinal">
    <vt:bool>true</vt:bool>
  </property>
</Properties>
</file>