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20. februāra noteikumos Nr. 116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(22.08.2024.)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skaidrot, kā noteikumu projekts ietekmē uzsākto projektu iesniegumu atlasi, tostarp skaidrojot ietekmi uz vērtēšanā esošajiem projektu iesniegumiem (par iespēju tos precizēt), vēl neiesniegtajiem projektu iesniegumiem, kā arī jau apstiprinātajiem projektu iesniegumiem. Aicinām arī skaidrot, vai un kā grozījumi ietekmē personu jau iegūtās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 </w:t>
            </w:r>
            <w:r w:rsidR="00000000" w:rsidRPr="00000000" w:rsidDel="00000000">
              <w:rPr>
                <w:i w:val="1"/>
                <w:rtl w:val="0"/>
              </w:rPr>
              <w:t xml:space="preserve">Līdz šim ir noslēgti divi līgumi par projekta īstenošanu. Atbalsta saņēmējiem, kuri noslēguši līgumu par projekta īstenošanu, nepieciešamības gadījumā, būs iespēja pārskatīt projekta attiecināmo izmaksu pozīcijas un iekļaut licenču iegādes un instrumentu, iekārtu un to aprīkojuma iegādes izmaksas. Ņemot vērā, ka minēto atbalsta saņēmēju projekta pieteikumos netika paredzēti sadarbības partneri, ar saimniecisko darbību nesaistīta projekta īstenošana un Eiropai svarīgo kopīgo interešu projekta partneru maiņa MK noteikumu projekts neietekmēs projektu īstenošanu.</w:t>
            </w:r>
            <w:r w:rsidR="00000000" w:rsidRPr="00000000" w:rsidDel="00000000">
              <w:rPr>
                <w:i w:val="1"/>
                <w:rtl w:val="0"/>
              </w:rPr>
              <w:t xml:space="preserve">Vienlaikus, projekta iesniedzējiem, kuru projekta iesniegumi pašlaik atrodas vērtēšanā, kā arī vēl neiesniegtajiem projektu iesniegumiem būs iespēja precizēt projektu pieteikumus atbilstoši MK noteikumu projektā iekļautajiem atbalsta saņemšanas nosacījumiem. Ekonomikas ministrija ir informējusi aģentūru par MK noteikumu projektu un lūgusi izvērtēt un nepieciešamības gadījumā informēt projekta iesniedzējus par izmaiņām atbalsta programmas nosacījumos. Vienlaikus, Ekonomikas ministrija plāno atsevišķi informēt projekta iesniedzējus par MK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ir iepazinusies ar Tiesību aktā virzītajiem grozījumiem Ministru kabineta 2024. gada 20. februāra noteikumos Nr. 116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 un pamatojoties uz Tiesību akta projekta grozījumiem, kas nosaka pienākumu atbalsta saņēmējiem iesniegt informāciju Kohēzijas politikas fondu vadības informācijas sistēmā par viedās specializācijas stratēģijas datiem, vēlamies izteikt iebildumu par administratīvā sloga novērtējumu, kas minēts 2.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uzsvērts, ka šie grozījumi rada papildus pienākumus juridiskām personām, kas var prasīt papildus resursus datu sagatavošanai un ievadei sistēmā, lai nodrošinātu nepieciešamo uzraudzības un monitoringa darbību veikšanu. Šāda pienākuma izpilde var ietekmēt atbalsta saņēmēju administratīvo slogu, ņemot vērā nepieciešamību iegūt precīzus datus un veikt regulāras pārbaudes. Tomēr anotācijā 2. sadaļā norādīts, ka administratīvo izmaksu slogs juridiskām personām šis projekts neattiecas, kas var radīt neskaidrības attiecībā uz to, kā tiek novērtēts šis papildu pienākums. Līdz ar to aicinām sniegt skaidrojumu par konkrētākām prognozēm par administratīvā sloga iespējamo ietekmi uz juridiskajām personām, it īpaši ņemot vērā potenciālās izmaksas, kas var rasties saistībā ar šo jauno prasību ieviešanu. Lūdzam iekļaut detalizētāku analīzi par to, kā šī prasība var ietekmēt administratīvā sloga apjomu atbalsta saņēmējiem, un, ja nepieciešams, apsvērt iespējas mazināt administratīvā sloga apmēru, piemēram, nodrošinot ērtākus datu ievades rīkus vai paredzot atbalsta saņēmējiem papildu palīdzību šīs prasības izpildē.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prasība par nacionālo rādītāju ievadi un uzkrāšanu Kohēzijas politikas fondu vadības informācijas sistēmā ir iekļauta Ministru kabineta 2024. gada 20. februāra noteikumos Nr.116 (turpmāk - MK noteikumi). Norādām, ka ar noteikumu projektu tiek samazināts uzkrājamo nacionālo rādītāju apjoms, kas pēc būtības samazina administratīvo slogu atbalsta saņēmējiem. Vienlaikus, skaidrojam, ka administratīvo izmaksu slogs juridiskām personām (anotācijas 2. sadaļa) šī noteikumu projekts ietvaros netiek radīts un tā sākotnējais izvērtējums pieejams MK noteikumos.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informāciju, kas norādīta 6.2. sadaļā par sabiedrības līdzdalības organizēšanas veidiem, tiek minēts, ka sabiedrības līdzdalība tiks nodrošināta 2025. gada janvārī divu nedēļu laika periodā Vienotā tiesību aktu projektu izstrādes un saskaņošanas portālā (TAP portāls). Tomēr vēlamies izteikt iebildumu, jo minētais sabiedrības līdzdalības process līdz šim nav norisinājies kā tika norādīts. Tā vietā sabiedrības līdzdalība tika plānota tikai nākotnē, kas rada neskaidrības attiecībā uz likumdošanas procesa pārskatāmību un līdzdalības iespēju laikus. Lūdzam precizēt, kādēļ šī sabiedrības līdzdalība vēl nav notikusi, kā arī norādīt, kad un kādi soļi tiks veikti, lai nodrošinātu sabiedrības līdzdalību un veicinātu plašāku iesaisti tiesību aktu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6. sadaļa precizēta. Skaidrojam, ka noteikumu projekts paredz atbalsta nosacījumu precizēšanu, lai nodrošinātu pilnvērtīgu atbalsta programmas ieviešanu. Ņemot vērā Eiropai svarīgo kopīgo interešu projektu (IPCEI) atbalsta programmas specifisku tajā iesaistījušies konkrēti Latvijas uzņēmumi un pētniecības organizācijas. Noteikumu projekts nodrošina minēto Latvijas partneru pilnvērtīgu iesaisti un rezultātu sasniegšanu, līdz ar to, tie neskar plašāku sabiedrību. Norādām, ka noteikumu projekts ir steidzams, lai nezaudētu Latvijai piešķirto Atveseļošanas fonda finansējumu, izpildītu uzņemtās saistības un nodrošinātu Latvijas partneru iesaisti IPCEI projektos, līdz ar to, sabiedrības līdzdalība netiek īstenota.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sadarbības partneris – komersants, valsts kapitālsabiedrība vai pētniecības un zināšanu izplatīšanas organizācija, kura plāno īstenot projektu sadarbībā ar projekta iesniedzēju un ar kuru projekta iesniedzējs noslēdzis sadarbības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kapitālsabiedrība pēc sava juridiskā statusa arī ir komersants. Attiecīgi lūdzam precizēt noteikumu 2.6.</w:t>
            </w:r>
            <w:r w:rsidR="00000000" w:rsidRPr="00000000" w:rsidDel="00000000">
              <w:rPr>
                <w:vertAlign w:val="superscript"/>
                <w:rtl w:val="0"/>
              </w:rPr>
              <w:t xml:space="preserve">1</w:t>
            </w:r>
            <w:r w:rsidR="00000000" w:rsidRPr="00000000" w:rsidDel="00000000">
              <w:rPr>
                <w:rtl w:val="0"/>
              </w:rPr>
              <w:t xml:space="preserve"> apakšpunktu, kā arī, ja nepieciešams, citas noteikumu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sadarbības partneris – komersants vai pētniecības un zināšanu izplatīšanas organizācija, ar kuru sadarbībā projekta iesniedzējs plāno īstenot projektu un ar kuru projekta iesniedzējs noslēdzis sadarbības līgumu;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Ja Eiropai svarīgo kopīgo interešu projekta saskaņošanas vai projektu partneru atlases laikā nepieciešams mainīt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minētās atbalsta vēstules noteikto partneri, investīciju aģentūra atkārtoti sniedz atbalsta vēstuli jaunajam sadarbības partnerim, vienlaikus nemainot sākotnēji apstiprinātā pētniecības projekta ideju. Atbalsta vēstules maiņu var pieteikt sākotnējais atbalsta vēstules saņēmējs.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noteikumu 30.</w:t>
            </w:r>
            <w:r w:rsidR="00000000" w:rsidRPr="00000000" w:rsidDel="00000000">
              <w:rPr>
                <w:vertAlign w:val="superscript"/>
                <w:rtl w:val="0"/>
              </w:rPr>
              <w:t xml:space="preserve">1</w:t>
            </w:r>
            <w:r w:rsidR="00000000" w:rsidRPr="00000000" w:rsidDel="00000000">
              <w:rPr>
                <w:rtl w:val="0"/>
              </w:rPr>
              <w:t xml:space="preserve"> punktā, gan citās noteikumu vienībās turpmāk ir minēts sadarbības partneris, tomēr no normas konteksta izriet, ka noteikumu 30.</w:t>
            </w:r>
            <w:r w:rsidR="00000000" w:rsidRPr="00000000" w:rsidDel="00000000">
              <w:rPr>
                <w:vertAlign w:val="superscript"/>
                <w:rtl w:val="0"/>
              </w:rPr>
              <w:t xml:space="preserve">1</w:t>
            </w:r>
            <w:r w:rsidR="00000000" w:rsidRPr="00000000" w:rsidDel="00000000">
              <w:rPr>
                <w:rtl w:val="0"/>
              </w:rPr>
              <w:t xml:space="preserve"> punktā ir runa par cita veida sadarbības partneri. Attiecīgi lūdzam precizēt noteikumu projektu, nodrošinot, ka ar vienu un to pašu vārdkopu netiek apzīmētas dažādas lietas. Alternatīvi lūdzam sniegt skaidrojumu par noteikumu 30.</w:t>
            </w:r>
            <w:r w:rsidR="00000000" w:rsidRPr="00000000" w:rsidDel="00000000">
              <w:rPr>
                <w:vertAlign w:val="superscript"/>
                <w:rtl w:val="0"/>
              </w:rPr>
              <w:t xml:space="preserve">1 </w:t>
            </w:r>
            <w:r w:rsidR="00000000" w:rsidRPr="00000000" w:rsidDel="00000000">
              <w:rPr>
                <w:rtl w:val="0"/>
              </w:rPr>
              <w:t xml:space="preserve">punkta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dzēšot vārdu "sadarbības", līdz ar to, noteikumu projekta 30.</w:t>
            </w:r>
            <w:r w:rsidR="00000000" w:rsidRPr="00000000" w:rsidDel="00000000">
              <w:rPr>
                <w:vertAlign w:val="superscript"/>
                <w:rtl w:val="0"/>
              </w:rPr>
              <w:t xml:space="preserve">1</w:t>
            </w:r>
            <w:r w:rsidR="00000000" w:rsidRPr="00000000" w:rsidDel="00000000">
              <w:rPr>
                <w:rtl w:val="0"/>
              </w:rPr>
              <w:t xml:space="preserve"> punktā tiek definēts process Eiropai svarīgo kopīgo interešu projekta (starptautiskā līmenī) partneru maiņai. Vienlaikus, vārdu savienojums "sadarbības partneris" attiecināms uz partneriem nacionālā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Ja Eiropai svarīgo kopīgo interešu projekta saskaņošanas vai projektu partneru atlases laikā nepieciešams mainīt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minētās atbalsta vēstules noteikto partneri, investīciju aģentūra atkārtoti sniedz atbalsta vēstuli jaunajam partnerim, vienlaikus nemainot sākotnēji apstiprinātā pētniecības projekta ideju. Atbalsta vēstules maiņu var pieteikt sākotnējais atbalsta vēstules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1.pielikumā "Projekta vērtēšanas kritēriji", atbilstoši MK noteikumos veiktajiem precizējumiem par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veikti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apakšsadaļas “Risinājuma apraksts” punktā "3. precizēt attiecināmās izmaksas" aizstāt norādi uz noteikumu projekta 43.13.apakšpunktu ar norādi uz 43.14.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Noteikumi Nr.116 tiek papildināti ar </w:t>
            </w:r>
            <w:r w:rsidR="00000000" w:rsidRPr="00000000" w:rsidDel="00000000">
              <w:rPr>
                <w:b w:val="1"/>
                <w:rtl w:val="0"/>
              </w:rPr>
              <w:t xml:space="preserve">43.14</w:t>
            </w:r>
            <w:r w:rsidR="00000000" w:rsidRPr="00000000" w:rsidDel="00000000">
              <w:rPr>
                <w:rtl w:val="0"/>
              </w:rPr>
              <w:t xml:space="preserve">. apakšpunktu, nosakot, ka attiecināmas ir instrumentu, iekārtu un to aprīkojuma iegādes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pamatot visus projektā paredzētos grozījumus, tostarp izvērstāk pamatot projekta 3. punktā jaunā redakcijā izteikto noteikumu 7. punktu, ņemot vērā, ka tajā veikti arī citi grozījumi, ne tikai vārda “sasniedzami” aizstāšana ar vārdu “iesniedzami”.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 Vienlaikus, Noteikumu Nr.116 7. punkts tiek papildināts ar vārdiem "un kurus Ekonomikas ministrija (turpmāk - nozares ministrija) izmanto pārraudzības darbībās", skaidrojot nacionālo rādītāju uzkrāšanas mērķi, atbilstoši Atveseļošanas un noturības mehānisma Darbības kārtībā iekļautajiem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norādīts, ka </w:t>
            </w:r>
            <w:r w:rsidR="00000000" w:rsidRPr="00000000" w:rsidDel="00000000">
              <w:rPr>
                <w:i w:val="1"/>
                <w:rtl w:val="0"/>
              </w:rPr>
              <w:t xml:space="preserve">atbalsta saņēmējiem, kuri noslēguši līgumu par projekta īstenošanu, nepieciešamības gadījumā, būs iespēja pārskatīt projekta attiecināmo izmaksu pozīcijas un iekļaut licenču iegādes un instrumentu, iekārtu un to aprīkojuma iegādes izmaksas</w:t>
            </w:r>
            <w:r w:rsidR="00000000" w:rsidRPr="00000000" w:rsidDel="00000000">
              <w:rPr>
                <w:rtl w:val="0"/>
              </w:rPr>
              <w:t xml:space="preserve">. Vēršam uzmanību, ka ar noteikumu projektu tiek plānoti arī citi Ministru kabineta 2024. gada 20. februāra noteikumu Nr. 116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 (turpmāk - noteikumi Nr. 116) grozījumi, piemēram, grozot noteikumu Nr. 116 7. punktā noteiktos nacionālos rādītājus. Lūdzam izvērtēt un atbilstoši precizēt anotācijā minēto par nepieciešamajiem grozījumiem līgumos par projektu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w:t>
            </w:r>
            <w:r w:rsidR="00000000" w:rsidRPr="00000000" w:rsidDel="00000000">
              <w:rPr>
                <w:i w:val="1"/>
                <w:rtl w:val="0"/>
              </w:rPr>
              <w:t xml:space="preserve">Ņemot vērā minēto, Noteikumi Nr.116 tiek papildināti ar 40.</w:t>
            </w:r>
            <w:r w:rsidR="00000000" w:rsidRPr="00000000" w:rsidDel="00000000">
              <w:rPr>
                <w:i w:val="1"/>
                <w:vertAlign w:val="superscript"/>
                <w:rtl w:val="0"/>
              </w:rPr>
              <w:t xml:space="preserve">1</w:t>
            </w:r>
            <w:r w:rsidR="00000000" w:rsidRPr="00000000" w:rsidDel="00000000">
              <w:rPr>
                <w:i w:val="1"/>
                <w:rtl w:val="0"/>
              </w:rPr>
              <w:t xml:space="preserve"> punktu</w:t>
            </w:r>
            <w:r w:rsidR="00000000" w:rsidRPr="00000000" w:rsidDel="00000000">
              <w:rPr>
                <w:rtl w:val="0"/>
              </w:rPr>
              <w:t xml:space="preserve">." Vēršam uzmanību, ka ar noteikumu projektu noteikumi netiek papildināti ar 40.</w:t>
            </w:r>
            <w:r w:rsidR="00000000" w:rsidRPr="00000000" w:rsidDel="00000000">
              <w:rPr>
                <w:vertAlign w:val="superscript"/>
                <w:rtl w:val="0"/>
              </w:rPr>
              <w:t xml:space="preserve">1</w:t>
            </w:r>
            <w:r w:rsidR="00000000" w:rsidRPr="00000000" w:rsidDel="00000000">
              <w:rPr>
                <w:rtl w:val="0"/>
              </w:rPr>
              <w:t xml:space="preserve"> punktu, attiecīgi aicinām precizēt anotāciju, norādot korektas noteikumu projekta vienības. Aicinām arī vieglākas uztveramības labad konsekventi sasaistīt anotācijā ietvertos skaidrojumus ar noteikumu projekta vienībām, kas paredz grozīt attiecīgas noteikumu vienības.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un novērstu iespējamās neskaidrības, aicinām Ekonomikas ministriju sniegt detalizētu informāciju par to, cik līgumi ir noslēgti līdz šim, kā arī kam tieši varētu draudēt izmaiņas atbalsta programmas nosacījumos sakarā ar MK noteikumu projektu grozījumiem. Šāda informācija būtu svarīga projekta iesniedzējiem, lai viņi varētu izvērtēt savu situāciju un plānot turpmākos soļus.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būtu vērtīgi, ja Ekonomikas ministrija varētu veikt skaidrojumu, kādas sekas izmaiņas varētu radīt jau esošajiem līgumiem.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 </w:t>
            </w:r>
            <w:r w:rsidR="00000000" w:rsidRPr="00000000" w:rsidDel="00000000">
              <w:rPr>
                <w:i w:val="1"/>
                <w:rtl w:val="0"/>
              </w:rPr>
              <w:t xml:space="preserve">Līdz šim ir noslēgti divi līgumi par projekta īstenošanu. Atbalsta saņēmējiem, kuri noslēguši līgumu par projekta īstenošanu, nepieciešamības gadījumā, būs iespēja pārskatīt projekta attiecināmo izmaksu pozīcijas un iekļaut licenču iegādes un instrumentu, iekārtu un to aprīkojuma iegādes izmaksas. Ņemot vērā, ka minēto atbalsta saņēmēju projekta pieteikumos netika paredzēti sadarbības partneri, ar saimniecisko darbību nesaistīta projekta īstenošana un Eiropai svarīgo kopīgo interešu projekta partneru maiņa MK noteikumu projekts neietekmēs projektu īstenošanu.</w:t>
            </w:r>
            <w:r w:rsidR="00000000" w:rsidRPr="00000000" w:rsidDel="00000000">
              <w:rPr>
                <w:i w:val="1"/>
                <w:rtl w:val="0"/>
              </w:rPr>
              <w:t xml:space="preserve">Vienlaikus, projekta iesniedzējiem, kuru projekta iesniegumi pašlaik atrodas vērtēšanā, kā arī vēl neiesniegtajiem projektu iesniegumiem būs iespēja precizēt projektu pieteikumus atbilstoši MK noteikumu projektā iekļautajiem atbalsta saņemšanas nosacījumiem. Ekonomikas ministrija ir informējusi aģentūru par MK noteikumu projektu un lūgusi izvērtēt un nepieciešamības gadījumā informēt projekta iesniedzējus par izmaiņām atbalsta programmas nosacījumos. Vienlaikus, Ekonomikas ministrija plāno atsevišķi informēt projekta iesniedzējus par MK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plānoto grozījumu ietekmi uz projektiem, par kuru īstenošanu jau ir noslēgti līgumi un vienošanās par projekta īstenošanu, un vai noslēgtajos līgumos un vienošanās būs nepieciešams veikt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 </w:t>
            </w:r>
            <w:r w:rsidR="00000000" w:rsidRPr="00000000" w:rsidDel="00000000">
              <w:rPr>
                <w:i w:val="1"/>
                <w:rtl w:val="0"/>
              </w:rPr>
              <w:t xml:space="preserve">Līdz šim ir noslēgti divi līgumi par projekta īstenošanu. Atbalsta saņēmējiem, kuri noslēguši līgumu par projekta īstenošanu, nepieciešamības gadījumā, būs iespēja pārskatīt projekta attiecināmo izmaksu pozīcijas un iekļaut licenču iegādes un instrumentu, iekārtu un to aprīkojuma iegādes izmaksas. Ņemot vērā, ka minēto atbalsta saņēmēju projekta pieteikumos netika paredzēti sadarbības partneri, ar saimniecisko darbību nesaistīta projekta īstenošana un Eiropai svarīgo kopīgo interešu projekta partneru maiņa MK noteikumu projekts neietekmēs projektu īstenošanu.</w:t>
            </w:r>
            <w:r w:rsidR="00000000" w:rsidRPr="00000000" w:rsidDel="00000000">
              <w:rPr>
                <w:i w:val="1"/>
                <w:rtl w:val="0"/>
              </w:rPr>
              <w:t xml:space="preserve">Vienlaikus, projekta iesniedzējiem, kuru projekta iesniegumi pašlaik atrodas vērtēšanā, kā arī vēl neiesniegtajiem projektu iesniegumiem būs iespēja precizēt projektu pieteikumus atbilstoši MK noteikumu projektā iekļautajiem atbalsta saņemšanas nosacījumiem. Ekonomikas ministrija ir informējusi aģentūru par MK noteikumu projektu un lūgusi izvērtēt un nepieciešamības gadījumā informēt projekta iesniedzējus par izmaiņām atbalsta programmas nosacījumos. Vienlaikus, Ekonomikas ministrija plāno atsevišķi informēt projekta iesniedzējus par MK noteikumu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Risinājuma apraksta 4. punktā ir norādīts, ka "</w:t>
            </w:r>
            <w:r w:rsidR="00000000" w:rsidRPr="00000000" w:rsidDel="00000000">
              <w:rPr>
                <w:i w:val="1"/>
                <w:rtl w:val="0"/>
              </w:rPr>
              <w:t xml:space="preserve">Tiek precizēts Noteikumu Nr.116 43.6 un 43.8 apakšpunkts, paredzot, ka attiecināmas ir iekārtu, t.sk. instrumentu un aprīkojuma, un licenču iegādes izmaksas.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precizētajiem Noteikumu projekta punktiem, iegādāties var tikai iekārtas un licences, savukārt par aprīkojumu un instrumentiem ir attiecināma nomas maksa.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informāciju vai arī precizēt Noteikumu projekta 43.6. punkta redakciju.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pilnveidot anotācijas 5. sadaļu, tostarp 5.1. un 5.4. apakšsadaļas 1. tabulu, pilnīgi atspoguļojot informāciju par projektā ieviestajām Eiropas Savienības regulu prasībām (sk., piemēram, projekta 20. punktā ietverto noteikumu 43.14.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606 "Ministru kabineta kārtības rullis" 55.2. apakšpunktam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w:t>
            </w:r>
            <w:r w:rsidR="00000000" w:rsidRPr="00000000" w:rsidDel="00000000">
              <w:rPr>
                <w:u w:val="single"/>
                <w:rtl w:val="0"/>
              </w:rPr>
              <w:t xml:space="preserve">jāpamato pēc būtības, norādot konkrētās nelabvēlīgās sekas</w:t>
            </w:r>
            <w:r w:rsidR="00000000" w:rsidRPr="00000000" w:rsidDel="00000000">
              <w:rPr>
                <w:rtl w:val="0"/>
              </w:rPr>
              <w:t xml:space="preserve">. </w:t>
            </w:r>
            <w:r w:rsidR="00000000" w:rsidRPr="00000000" w:rsidDel="00000000">
              <w:rPr>
                <w:u w:val="single"/>
                <w:rtl w:val="0"/>
              </w:rPr>
              <w:t xml:space="preserve">Par steidzamības pamatu netiek uzskatīts iepriekš laikus zināma uzdevuma izpildes termiņa kavējums.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noteikumu projektam trūkst steidzamības pamatojuma pēc būtības. Lūdzam turpmāk tiesību aktu projektus virzīt saskaņošanai vispārējā kārtībā atbilstoši Ministru kabineta 2021. gada 7. septembra noteikumu Nr. 606 "Ministru kabineta kārtības rullis" 55.1. apakšpunktam vai arī pamatot steidzamību pēc būtības.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tika virzīts kā steidzams, ņemot vērā, ka ja netiktu veiktas izmaiņas atbalsta saņemšanas nosacījumus palielinātos risks zaudēts Latvijai piešķirtais Atveseļošanas fonda finansējums un neizpildīt Latvijas uzņemtās saistības pret Eiropas Komisiju, kas tiešā veidā radītu nelabvēlīgu seku iestāšanos valstij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atbalsts – atbalsts ar saimniecisko darbību saistītam pētniecības un attīstības projektam, kurš atbilst Komisijas 2014. gada 17. jūnija Regulas (ES) Nr. </w:t>
            </w:r>
            <w:r w:rsidR="00000000" w:rsidRPr="00000000" w:rsidDel="00000000">
              <w:rPr>
                <w:rtl w:val="0"/>
              </w:rPr>
              <w:t xml:space="preserve">651/2014</w:t>
            </w:r>
            <w:r w:rsidR="00000000" w:rsidRPr="00000000" w:rsidDel="00000000">
              <w:rPr>
                <w:rtl w:val="0"/>
              </w:rPr>
              <w:t xml:space="preserve">, ar ko noteiktas atbalsta kategorijas atzīst par saderīgām ar iekšējo tirgu, piemērojot Līguma 107. un 108. pantu (turpmāk – Komisijas regula Nr. </w:t>
            </w:r>
            <w:r w:rsidR="00000000" w:rsidRPr="00000000" w:rsidDel="00000000">
              <w:rPr>
                <w:rtl w:val="0"/>
              </w:rPr>
              <w:t xml:space="preserve">651/2014</w:t>
            </w:r>
            <w:r w:rsidR="00000000" w:rsidRPr="00000000" w:rsidDel="00000000">
              <w:rPr>
                <w:rtl w:val="0"/>
              </w:rPr>
              <w:t xml:space="preserve">), 25. panta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noteikumi papildināti ar atbalstu ar saimniecisko darbību nesaistītiem projektiem, lūdzam pārskatīt noteikumos lietoto terminu "atbalsts" (t.sk. noteikumu 2.1.apakšpunktu) un tur, kur tiek runāts par atbalstu ar saimniecisko darbību saistītam pētniecības un attīstības projektam, kurš atbilst Komisijas regulas Nr. 651/2014 25. panta nosacījumiem, lietot, piemēram, terminu "komercdarbības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sadarbības partneris – komersants, valsts kapitālsabiedrība vai pētniecības un zināšanu izplatīšanas organizācija, kura plāno īstenot projektu sadarbībā ar projekta iesniedzēju un ar kuru projekta iesniedzējs noslēdzis sadarbības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Norādām, ka atbilstoši juridiskās tehnikas prasībām tiesību normai ir jābūt skaidrai, lai tās lietotājs un piemērotājs gūtu nepārprotamu priekšstatu par normā ietvertajiem pienākumiem un tiesībām. Ņemot vērā, ka atbildību par projekta īstenošanu uzņemas un saglabā atbalsta saņēmējs (projekta iesniedzējs), pēc nepieciešamības projekta īstenošanā piesaistot arī sadarbības partneri, lūdzam aizstāt Ministru kabineta 2024. gada 20. februāra noteikumu Nr. 116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kārtas īstenošanas noteikumi" (turpmāk - noteikumi Nr. 116) plānotajā 2.6.</w:t>
            </w:r>
            <w:r w:rsidR="00000000" w:rsidRPr="00000000" w:rsidDel="00000000">
              <w:rPr>
                <w:vertAlign w:val="superscript"/>
                <w:rtl w:val="0"/>
              </w:rPr>
              <w:t xml:space="preserve">1</w:t>
            </w:r>
            <w:r w:rsidR="00000000" w:rsidRPr="00000000" w:rsidDel="00000000">
              <w:rPr>
                <w:rtl w:val="0"/>
              </w:rPr>
              <w:t xml:space="preserve"> apakšpunktā vārdus "kura plāno īstenot projektu sadarbībā ar projekta iesniedzēju" ar vārdiem "ar kuru sadarbībā projekta iesniedzējs plāno īstenot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Papildus lūdzam viennozīmīgai normas izpratnei aizstāt noteikumu Nr. 116 plānotajā 16.7. apakšpunktā vārdus "ja attiecināms" ar vārdiem "ja tiek piesaistīts sadarbības partneris".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izvērtēt iespēju aizstāt noteikumu Nr. 116 plānotajā 37.3. apakšpunktā vārdus "atbalsta saņēmējam vai sadarbības partnerim" ar vārdiem "atbalsta saņēmējam </w:t>
            </w:r>
            <w:r w:rsidR="00000000" w:rsidRPr="00000000" w:rsidDel="00000000">
              <w:rPr>
                <w:u w:val="single"/>
                <w:rtl w:val="0"/>
              </w:rPr>
              <w:t xml:space="preserve">un</w:t>
            </w:r>
            <w:r w:rsidR="00000000" w:rsidRPr="00000000" w:rsidDel="00000000">
              <w:rPr>
                <w:rtl w:val="0"/>
              </w:rPr>
              <w:t xml:space="preserve"> sadarbības partnerim" gadījumā, ja minētajā apakšpunktā norādītais maksimālais finansējuma apmērs noteikts viena projekta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sadarbības partneris – komersants vai pētniecības un zināšanu izplatīšanas organizācija, ar kuru sadarbībā projekta iesniedzējs plāno īstenot projektu un ar kuru projekta iesniedzējs noslēdzis sadarbības līgumu;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ietvaros Kohēzijas politikas fondu vadības informācijas sistēmā (turpmāk – vadības informācijas sistēma) atbalsta saņēmējs ievada datus par šādiem nacionālajiem rādītājiem, kas iesniedzami līdz 2026. gada 30. jūnijam: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nacionālo rādītāju redakcijas (kas attiecās uz RIS3 rādītājiem) precizēt pēc EM, IZM un CFLA saskaņotām "Vadlīnijām par viedās specializācijas stratēģijas jomas noteikšanu un monitoringa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Šo noteikumu ietvaros Kohēzijas politikas fondu vadības informācijas sistēmā (turpmāk – vadības informācijas sistēma) atbalsta saņēmējs ievada datus par šādiem nacionālajiem rādītājiem, kas iesniedzami līdz 2026. gada 30. jūnijam un kurus Ekonomikas ministrija (turpmāk - nozares ministrija) izmanto pārraudzības darbībās: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w:t>
            </w:r>
            <w:r w:rsidR="00000000" w:rsidRPr="00000000" w:rsidDel="00000000">
              <w:rPr>
                <w:rtl w:val="0"/>
              </w:rPr>
              <w:t xml:space="preserve">6.1.</w:t>
            </w:r>
            <w:r w:rsidR="00000000" w:rsidRPr="00000000" w:rsidDel="00000000">
              <w:rPr>
                <w:rtl w:val="0"/>
              </w:rPr>
              <w:t xml:space="preserve"> apakšpunktā</w:t>
            </w:r>
            <w:r w:rsidR="00000000" w:rsidRPr="00000000" w:rsidDel="00000000">
              <w:rPr>
                <w:rtl w:val="0"/>
              </w:rPr>
              <w:t xml:space="preserve"> minētais mērķis ir sasniegts, ja nozares ministrija izstrādā kopsavilkuma dokumentu, kurā iekļauts pamatojums, kā tika sasniegts mērķis, ar atsaucēm uz tīmekļvietnēm, kurās pieejami mērķi pamatojošie dokumenti.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juridiskās tehnikas prasībām tiesību normai ir jābūt skaidrai, lai tās lietotājs un piemērotājs gūtu nepārprotamu priekšstatu par normā ietvertajiem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saglabāt noteikumu Nr. 116 8. punktā norādi uz Ekonomikas ministriju kā nozares ministriju, lai nodrošinātu normatīvā regulējuma skaidrību un atbilstību Atveseļošanas un noturības mehānisma plāna īstenošanas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uz Ekonomikas ministriju kā nozares ministriju iekļauta noteikumu 7.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Vērtēšanas komisija projektu iesniegumu atlases termiņā saņemtos projektu iesniegumus vērtē atbilstoši šo noteikumu </w:t>
            </w:r>
            <w:r w:rsidR="00000000" w:rsidRPr="00000000" w:rsidDel="00000000">
              <w:rPr>
                <w:rtl w:val="0"/>
              </w:rPr>
              <w:t xml:space="preserve">1. pielikumā</w:t>
            </w:r>
            <w:r w:rsidR="00000000" w:rsidRPr="00000000" w:rsidDel="00000000">
              <w:rPr>
                <w:rtl w:val="0"/>
              </w:rPr>
              <w:t xml:space="preserve"> </w:t>
            </w:r>
            <w:r w:rsidR="00000000" w:rsidRPr="00000000" w:rsidDel="00000000">
              <w:rPr>
                <w:rtl w:val="0"/>
              </w:rPr>
              <w:t xml:space="preserve">minētajiem projektu iesniegumu vērtēšanas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grozījumu precizētā redakcija vairs neparedz atbalstu ar saimniecisko darbību nesaistītiem projektiem, lūgums MK noteikumu 1. pielikumā "Projektu iesniegumu vērtēšanas kritēriji"dzēst kritēriju Nr. 2.11. "Projekta iesniegums atbilst MK noteikumos noteiktajām prasībām ar saimniecisku darbību nesaistītam projektam (attiecināms uz ar saimniecisko darbību nesaistītiem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kritēriji precizēti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Vērtēšanas komisija projektu iesniegumu atlases termiņā saņemtos projektu iesniegumus vērtē atbilstoši šo noteikumu </w:t>
            </w:r>
            <w:r w:rsidR="00000000" w:rsidRPr="00000000" w:rsidDel="00000000">
              <w:rPr>
                <w:rtl w:val="0"/>
              </w:rPr>
              <w:t xml:space="preserve">1. pielikumā</w:t>
            </w:r>
            <w:r w:rsidR="00000000" w:rsidRPr="00000000" w:rsidDel="00000000">
              <w:rPr>
                <w:rtl w:val="0"/>
              </w:rPr>
              <w:t xml:space="preserve"> </w:t>
            </w:r>
            <w:r w:rsidR="00000000" w:rsidRPr="00000000" w:rsidDel="00000000">
              <w:rPr>
                <w:rtl w:val="0"/>
              </w:rPr>
              <w:t xml:space="preserve">minētajiem projektu iesniegumu vērtēšanas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Ja Eiropai svarīgo kopīgo interešu projekta saskaņošanas vai projektu partneru atlases laikā nepieciešams mainīt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minētās atbalsta vēstules noteikto partneri, investīciju aģentūra atkārtoti sniedz atbalsta vēstuli jaunajam partnerim, vienlaikus nemainot sākotnēji apstiprinātā pētniecības projekta ideju. Atbalsta vēstules maiņu var pieteikt sākotnējais atbalsta vēstules saņēmējs.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Ekonomikas ministrijas sniegto skaidrojumu uz Finanšu ministrijas iepriekš izteikto priekšlikumu par noteikumu Nr. 116 plānoto 30.</w:t>
            </w:r>
            <w:r w:rsidR="00000000" w:rsidRPr="00000000" w:rsidDel="00000000">
              <w:rPr>
                <w:vertAlign w:val="superscript"/>
                <w:rtl w:val="0"/>
              </w:rPr>
              <w:t xml:space="preserve">1</w:t>
            </w:r>
            <w:r w:rsidR="00000000" w:rsidRPr="00000000" w:rsidDel="00000000">
              <w:rPr>
                <w:rtl w:val="0"/>
              </w:rPr>
              <w:t xml:space="preserve"> un 30.</w:t>
            </w:r>
            <w:r w:rsidR="00000000" w:rsidRPr="00000000" w:rsidDel="00000000">
              <w:rPr>
                <w:vertAlign w:val="superscript"/>
                <w:rtl w:val="0"/>
              </w:rPr>
              <w:t xml:space="preserve">2</w:t>
            </w:r>
            <w:r w:rsidR="00000000" w:rsidRPr="00000000" w:rsidDel="00000000">
              <w:rPr>
                <w:rtl w:val="0"/>
              </w:rPr>
              <w:t xml:space="preserve"> punktu, vēršam uzmanību, ka Ministru kabineta noteikumos par investīciju īstenošanu, tostarp ņemot vērā Likuma par budžetu un finanšu vadību 19.</w:t>
            </w:r>
            <w:r w:rsidR="00000000" w:rsidRPr="00000000" w:rsidDel="00000000">
              <w:rPr>
                <w:vertAlign w:val="superscript"/>
                <w:rtl w:val="0"/>
              </w:rPr>
              <w:t xml:space="preserve">3</w:t>
            </w:r>
            <w:r w:rsidR="00000000" w:rsidRPr="00000000" w:rsidDel="00000000">
              <w:rPr>
                <w:rtl w:val="0"/>
              </w:rPr>
              <w:t xml:space="preserve"> pantā ietverto deleģējumu, netiek regulēts ārvalstu partnera (sākotnējās atbalsta vēstules saņēmēja un atkārtotās atbalsta vēstules saņēmēja) izvēles process, tostarp ņemot vērā, ka tas notiek ārpus Atveseļošanas un noturības mehānisma īstenošanas normatīvā regulējuma un procesa. Ievērojot minēto, lūdzam atkārtoti izvērtēt iespēju svītrot noteikumu Nr. 116 plānoto 30.</w:t>
            </w:r>
            <w:r w:rsidR="00000000" w:rsidRPr="00000000" w:rsidDel="00000000">
              <w:rPr>
                <w:vertAlign w:val="superscript"/>
                <w:rtl w:val="0"/>
              </w:rPr>
              <w:t xml:space="preserve">1</w:t>
            </w:r>
            <w:r w:rsidR="00000000" w:rsidRPr="00000000" w:rsidDel="00000000">
              <w:rPr>
                <w:rtl w:val="0"/>
              </w:rPr>
              <w:t xml:space="preserve"> un 30.</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noteikumu Nr. 116 plānotajā 30.</w:t>
            </w:r>
            <w:r w:rsidR="00000000" w:rsidRPr="00000000" w:rsidDel="00000000">
              <w:rPr>
                <w:vertAlign w:val="superscript"/>
                <w:rtl w:val="0"/>
              </w:rPr>
              <w:t xml:space="preserve">2</w:t>
            </w:r>
            <w:r w:rsidR="00000000" w:rsidRPr="00000000" w:rsidDel="00000000">
              <w:rPr>
                <w:rtl w:val="0"/>
              </w:rPr>
              <w:t xml:space="preserve">3. apakšpunktā lietotais jēdziens "sadarbības līgums" rada interpretācijas problēmas, ņemot vērā, ka ar sadarbības līgumu, tostarp izrietoši no citām noteikumu Nr. 116 plānotajām normām, saprotams sadarbības līgums, kas tiek slēgts starp projekta iesniedzēju un viņa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nav saprotama anotācijas 1.3. sadaļas apakšsadaļā "Risinājuma apraksts" ietvertā norāde, ka </w:t>
            </w:r>
            <w:r w:rsidR="00000000" w:rsidRPr="00000000" w:rsidDel="00000000">
              <w:rPr>
                <w:i w:val="1"/>
                <w:rtl w:val="0"/>
              </w:rPr>
              <w:t xml:space="preserve">gadījumā, ja sākotnējās investīciju aģentūras atbalsta vēstules saņēmējs plāno iesaistīties projekta īstenošanā kā sadarbības partneris, atkārtotās investīciju aģentūras atbalsta vēstules saņēmējs slēdz sadarbības līgumu ar sākotnējās investīciju aģentūras atbalsta vēstules saņēmēju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nav saprotams, vai tiek paredzēta arī atkārtotās investīciju aģentūras atbalsta vēstules saņēmēja iesaiste tāda investīciju projekta īstenošanā, kurā kā projekta iesniedzēja sadarbības partneris ir piesaistīts sākotnējās investīciju aģentūras atbalsta vēstules saņēmējs. Vēršam uzmanību, ka sadarbības partneris nav tiesīgs ar projekta īstenošanu saistītās tiesības un pienākumus nodot citai personai.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w:t>
            </w:r>
            <w:r w:rsidR="00000000" w:rsidRPr="00000000" w:rsidDel="00000000">
              <w:rPr>
                <w:i w:val="1"/>
                <w:rtl w:val="0"/>
              </w:rPr>
              <w:t xml:space="preserve">sākotnējās atbalsta vēstules saņēmējs un atkārtotās atbalsta vēstules saņēmējs, </w:t>
            </w:r>
            <w:r w:rsidR="00000000" w:rsidRPr="00000000" w:rsidDel="00000000">
              <w:rPr>
                <w:rtl w:val="0"/>
              </w:rPr>
              <w:t xml:space="preserve">tiek saprasti Latvijas komersanti vai pētniecības un zināšanu izplatīšanas organizācijas, kas ir pieteikušas projektu Latvijas investīciju un attīstības aģentūrā (LIAA). Minētais process tiešā veidā regulē nacionāla līmeņa juridiskās personas, nevis ārvalstu partnerus. Pēc LIAA atbalsta vēstules saņemšanas Latvijas komersants piedalās tīklošanās pasākumos ar ārvalstu partneriem, lai izveidotu sadarbību un nodrošinātu IPCEI projektu prasību (vairāku ES dalībvalstu sadarbība) izpildi. Gadījumā, ja Latvijas komersants minēto tīklošanās pasākumu ietvaros konstatē, ka nepieciešama </w:t>
            </w:r>
            <w:r w:rsidR="00000000" w:rsidRPr="00000000" w:rsidDel="00000000">
              <w:rPr>
                <w:b w:val="1"/>
                <w:rtl w:val="0"/>
              </w:rPr>
              <w:t xml:space="preserve">Latvijas komersanta maiņa </w:t>
            </w:r>
            <w:r w:rsidR="00000000" w:rsidRPr="00000000" w:rsidDel="00000000">
              <w:rPr>
                <w:rtl w:val="0"/>
              </w:rPr>
              <w:t xml:space="preserve">konkrētā pētniecības projekta īstenošanai, tiek paredzēta iespēja Latvijas partnera/komersanta nomaiņai.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maiņas gadījumā, komersants (sākotnējās atbalsta vēstules saņēmējs) var neturpināt dalību projektā, bet nodot projekta koordinēšanu un īstenošanu jaunajam (atkārtotās atbalsta vēstules saņēmējam) komersantam. Gadījumā, ja minētie komersanti izlemj projekta īstenošanu turpināt kopīgi, tiek slēgts sadarbības līgums. Atbalsta vēstules saņēmēju maiņa notiek konsorcija ietvaros, kura projekta ideja jau sākotnēji tika apstiprināta LIAA un tā netiek mainīta.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atbalsta vēstules saņēmēja maiņa notiek pirms projekta iesnieguma iesniegšanas CFLA, kur iesaistītie Latvijas partneri (ja attiecināms) atrunā pienākumus un sadarbības principus sadarbības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Ja Eiropai svarīgo kopīgo interešu projekta saskaņošanas vai projektu partneru atlases laikā nepieciešams mainīt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minētās atbalsta vēstules noteikto partneri, investīciju aģentūra atkārtoti sniedz atbalsta vēstuli jaunajam partnerim, vienlaikus nemainot sākotnēji apstiprinātā pētniecības projekta ideju. Atbalsta vēstules maiņu var pieteikt sākotnējais atbalsta vēstules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Ja Eiropai svarīgo kopīgo interešu projekta saskaņošanas vai projektu partneru atlases laikā nepieciešams mainīt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minētās atbalsta vēstules noteikto partneri, investīciju aģentūra atkārtoti sniedz atbalsta vēstuli jaunajam sadarbības partnerim, vienlaikus nemainot sākotnēji apstiprinātā pētniecības projekta ideju. Atbalsta vēstules maiņu var pieteikt sākotnējais atbalsta vēstules saņēmējs.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1.3. sadaļas apakšsadaļā "Risinājuma apraksts" sniegtā skaidrojuma iespējams secināt, ka Latvijas Investīciju un attīstības aģentūras izsniegtajā atbalsta vēstulē tiek iekļauti Eiropas Savienības dalībvalstu, nevis nacionālie, partneri. Ņemot vērā, ka Ministru kabineta noteikumos netiek regulētas projekta iesniedzēja un ārvalstu partnera tiesiskās attiecības tostarp pirms projekta iesnieguma iesniegšanas sadarbības iestādē, lūdzam izvērtēt iespēju svītrot noteikumu Nr. 116 plānoto 30.</w:t>
            </w:r>
            <w:r w:rsidR="00000000" w:rsidRPr="00000000" w:rsidDel="00000000">
              <w:rPr>
                <w:vertAlign w:val="superscript"/>
                <w:rtl w:val="0"/>
              </w:rPr>
              <w:t xml:space="preserve">1</w:t>
            </w:r>
            <w:r w:rsidR="00000000" w:rsidRPr="00000000" w:rsidDel="00000000">
              <w:rPr>
                <w:rtl w:val="0"/>
              </w:rPr>
              <w:t xml:space="preserve"> un 30.</w:t>
            </w:r>
            <w:r w:rsidR="00000000" w:rsidRPr="00000000" w:rsidDel="00000000">
              <w:rPr>
                <w:vertAlign w:val="superscript"/>
                <w:rtl w:val="0"/>
              </w:rPr>
              <w:t xml:space="preserve">2</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minētās normas tiek saglabātas: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30.</w:t>
            </w:r>
            <w:r w:rsidR="00000000" w:rsidRPr="00000000" w:rsidDel="00000000">
              <w:rPr>
                <w:vertAlign w:val="superscript"/>
                <w:rtl w:val="0"/>
              </w:rPr>
              <w:t xml:space="preserve">1</w:t>
            </w:r>
            <w:r w:rsidR="00000000" w:rsidRPr="00000000" w:rsidDel="00000000">
              <w:rPr>
                <w:rtl w:val="0"/>
              </w:rPr>
              <w:t xml:space="preserve"> punktā aizstāt vārdus "sadarbības partnerim" ar vārdu "partnerim", lai nodrošinātu viennozīmīgu normas interpretāciju par to, ka tā neattiecas uz nacionāli piesaistāmajiem sadarbības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lai nodrošinātu normas viennozīmīgu interpretāciju, lūdzam papildināt noteikumu Nr. 116 plānoto 30.</w:t>
            </w:r>
            <w:r w:rsidR="00000000" w:rsidRPr="00000000" w:rsidDel="00000000">
              <w:rPr>
                <w:vertAlign w:val="superscript"/>
                <w:rtl w:val="0"/>
              </w:rPr>
              <w:t xml:space="preserve">2</w:t>
            </w:r>
            <w:r w:rsidR="00000000" w:rsidRPr="00000000" w:rsidDel="00000000">
              <w:rPr>
                <w:rtl w:val="0"/>
              </w:rPr>
              <w:t xml:space="preserve">1.3. apakšpunktu pirms vārda "apliecinājums" ar vārdiem un skaitļiem "šo noteikumu 16.1. apakšpunktā minētajā atbalsta vēstulē noteiktā partnera";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savukārt noteikumu Nr. 116 plānotajā 30.</w:t>
            </w:r>
            <w:r w:rsidR="00000000" w:rsidRPr="00000000" w:rsidDel="00000000">
              <w:rPr>
                <w:vertAlign w:val="superscript"/>
                <w:rtl w:val="0"/>
              </w:rPr>
              <w:t xml:space="preserve">2</w:t>
            </w:r>
            <w:r w:rsidR="00000000" w:rsidRPr="00000000" w:rsidDel="00000000">
              <w:rPr>
                <w:rtl w:val="0"/>
              </w:rPr>
              <w:t xml:space="preserve">3. apakšpunktā lūdzam aizstāt vārdu "vienošanos" ar vārdu "līgumu", ņemot vērā potenciālo sadarbības partneru juridisko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30.</w:t>
            </w:r>
            <w:r w:rsidR="00000000" w:rsidRPr="00000000" w:rsidDel="00000000">
              <w:rPr>
                <w:vertAlign w:val="superscript"/>
                <w:rtl w:val="0"/>
              </w:rPr>
              <w:t xml:space="preserve">1 </w:t>
            </w:r>
            <w:r w:rsidR="00000000" w:rsidRPr="00000000" w:rsidDel="00000000">
              <w:rPr>
                <w:rtl w:val="0"/>
              </w:rPr>
              <w:t xml:space="preserve">un 30.</w:t>
            </w:r>
            <w:r w:rsidR="00000000" w:rsidRPr="00000000" w:rsidDel="00000000">
              <w:rPr>
                <w:vertAlign w:val="superscript"/>
                <w:rtl w:val="0"/>
              </w:rPr>
              <w:t xml:space="preserve">2 </w:t>
            </w:r>
            <w:r w:rsidR="00000000" w:rsidRPr="00000000" w:rsidDel="00000000">
              <w:rPr>
                <w:rtl w:val="0"/>
              </w:rPr>
              <w:t xml:space="preserve">punktus nepieciešams saglabāt, lai mazinātu interpretācijas iespējas normu piemērošanā un atbalsta vēstules saņemšanas procesā. Vienlaikus norādām, ka minētie punkti precizēti atbilstoši sniegtajiem norādījumiem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Ja Eiropai svarīgo kopīgo interešu projekta saskaņošanas vai projektu partneru atlases laikā nepieciešams mainīt šo noteikumu </w:t>
            </w:r>
            <w:r w:rsidR="00000000" w:rsidRPr="00000000" w:rsidDel="00000000">
              <w:rPr>
                <w:rtl w:val="0"/>
              </w:rPr>
              <w:t xml:space="preserve">16.1. </w:t>
            </w:r>
            <w:r w:rsidR="00000000" w:rsidRPr="00000000" w:rsidDel="00000000">
              <w:rPr>
                <w:rtl w:val="0"/>
              </w:rPr>
              <w:t xml:space="preserve">apakšpunktā</w:t>
            </w:r>
            <w:r w:rsidR="00000000" w:rsidRPr="00000000" w:rsidDel="00000000">
              <w:rPr>
                <w:rtl w:val="0"/>
              </w:rPr>
              <w:t xml:space="preserve"> minētās atbalsta vēstules noteikto partneri, investīciju aģentūra atkārtoti sniedz atbalsta vēstuli jaunajam partnerim, vienlaikus nemainot sākotnēji apstiprinātā pētniecības projekta ideju. Atbalsta vēstules maiņu var pieteikt sākotnējais atbalsta vēstules saņēmējs.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3. projekta iesniedzējs un atkārtotās atbalsta vēstules saņēmējs nepieciešamības gadījumā slēdz vienošanos par sadarbību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anotācijā skaidrot, kas noteikumu 30.</w:t>
            </w:r>
            <w:r w:rsidR="00000000" w:rsidRPr="00000000" w:rsidDel="00000000">
              <w:rPr>
                <w:vertAlign w:val="superscript"/>
                <w:rtl w:val="0"/>
              </w:rPr>
              <w:t xml:space="preserve">2</w:t>
            </w:r>
            <w:r w:rsidR="00000000" w:rsidRPr="00000000" w:rsidDel="00000000">
              <w:rPr>
                <w:rtl w:val="0"/>
              </w:rPr>
              <w:t xml:space="preserve"> 3. apakšpunktā domāts ar "nepieciešamības gadījumu". Papildus, ņemot vērā, ka noteikumu projektā lietots arī apzīmējums "sadarbības līgums", aicinām vai nu precizēt noteikumu projektu, izmantojot vienveidīgu terminoloģiju, vai arī sniegt skaidrojumu par noteikumu projekta 30.</w:t>
            </w:r>
            <w:r w:rsidR="00000000" w:rsidRPr="00000000" w:rsidDel="00000000">
              <w:rPr>
                <w:vertAlign w:val="superscript"/>
                <w:rtl w:val="0"/>
              </w:rPr>
              <w:t xml:space="preserve">2 </w:t>
            </w:r>
            <w:r w:rsidR="00000000" w:rsidRPr="00000000" w:rsidDel="00000000">
              <w:rPr>
                <w:rtl w:val="0"/>
              </w:rPr>
              <w:t xml:space="preserve">3. apakšpunkta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 Skaidrojam, ka "nepieciešamības gadījums" attiecināms uz situācijām, kad sākotnējās investīciju aģentūras atbalsta vēstules saņēmējs turpina dalību projekta īstenošanā. Iespējamas situācijas, kad notiek partnera maiņa un sākotnējās investīciju aģentūras atbalsta vēstules saņēmējs neturpina dalību Eiropai svarīgo kopīgo interešu projektā. Līdz ar to, noteikumu projekta anotācijas papildināta šādā redakcijā: </w:t>
            </w:r>
            <w:r w:rsidR="00000000" w:rsidRPr="00000000" w:rsidDel="00000000">
              <w:rPr>
                <w:i w:val="1"/>
                <w:rtl w:val="0"/>
              </w:rPr>
              <w:t xml:space="preserve">Gadījumā, ja sākotnējās investīciju aģentūras atbalsta vēstules saņēmējs plāno iesaistīties projekta īstenošanā kā sadarbības partneris, atkārtotās investīciju aģentūras atbalsta vēstules saņēmējs slēdz sadarbības līgumu ar sākotnējās investīciju aģentūras atbalsta vēstules saņēmēju.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2</w:t>
            </w:r>
            <w:r w:rsidR="00000000" w:rsidRPr="00000000" w:rsidDel="00000000">
              <w:rPr>
                <w:rtl w:val="0"/>
              </w:rPr>
              <w:t xml:space="preserve">3. sākotnējās atbalsta vēstules saņēmējs un atkārtotās atbalsta vēstules saņēmējs nepieciešamības gadījumā slēdz sadarbības līgumu.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Projekta iesniedzējs projekta īstenošanā var iesaistīt sadarbības partnerus.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izskatīt nepieciešamību MK noteikumos iekļaut punktu, kurā tiek noteikts sadarbības partnera minimālā projekta attiecināmo izmaksu daļa, tādējādi nodrošinot, ka projekts tiek īstenots efektīvā sadarbībā starp projekta iesniedzēju un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ietvaros projekta iesniedzējs un sadarbības partneris var īstenot projektu efektīvā sadarbībā vai kā vienkāršu sadarbības projektu, kurā neizpildās efektīvas sadarbības nosacījumi atbilstoši Komisijas regulas 651/2014 prasībām, līdz ar to, šāda punkta iekļaušana var radīt papildu slogu projekta īstenotājiem.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Projekta iesniedzējs projekta īstenošanā var iesaistīt sadarbības partnerus.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Projekta iesniedzējs projekta īstenošanā var iesaistīt sadarbības partnerus.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116 plānotais 2.6.</w:t>
            </w:r>
            <w:r w:rsidR="00000000" w:rsidRPr="00000000" w:rsidDel="00000000">
              <w:rPr>
                <w:vertAlign w:val="superscript"/>
                <w:rtl w:val="0"/>
              </w:rPr>
              <w:t xml:space="preserve">1</w:t>
            </w:r>
            <w:r w:rsidR="00000000" w:rsidRPr="00000000" w:rsidDel="00000000">
              <w:rPr>
                <w:rtl w:val="0"/>
              </w:rPr>
              <w:t xml:space="preserve"> apakšpunkts paredz, ka sadarbības partneris var būt komersants, valsts kapitālsabiedrība vai pētniecības un zināšanu izplatīšanas organizācija. Vēršam uzmanību, ka gadījumā, ja investīcijas projektu īstenošanā tiek plānots piesaistīt sadarbības partneri, nepieciešams nodrošināt, ka netiek pārkāpts nacionālais normatīvais regulējums iepirkumu jomā, t.i., jāizvērtē, vai nepieciešamā funkcija, kuru plānots veikt sadarbības partneriem, nav veicama ārpakalpojuma rezultātā, par ko veicams iepirkums.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sniegt skaidrojumu anotācijā, kā tiks izvēlēti sadarbības partneri, un vai sadarbības partneriem plānotās funkcijas nav iespējams veikt ārpakalpojuma rezultātā, par ko veicams iepirkums.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noteikumus Nr. 116 ar pamata funkcijām, kuras plānots noteikt sadarbības partneriem projektu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IPCEI projekta ietvaros Latvijas partneri uzņemas konkrētas saistības un uzdevumus, lai nodrošinātu IPCEI rezultātu sasniegšanu. Ja nacionālā līmenī projekts tiek īstenots sadarbībā ar partneriem, tad katram no tiem ir būtiska loma un funkcijas, bez kurām projekta realizācija nebūtu iespējama un tiktu apdraudēta kopējā IPCEI projekta ieviešana. Turklāt, IPCEI Latvijas partneri (iespējami vairāki partneri viena projekta ietvaros) projekta ideju ir izstrādājuši kopīgi un tās atbilstību IPCEI mērķiem ir apstiprinājusi Latvijas investīciju un attīstības aģentūra, attiecīgi sadarbības partneru iesaiste nav spontāna, bet plānota jau kopš projekta idejas tapšanas. Vienlaikus, norādām, ka partneru iesaiste projekta īstenošanā neierobežo iespēju organizēt iepirkumus atbilstoši normatīvajam regulējumam. Skaidrojam, ka pienākumu sadalījums un atbildība starp projekta sadarbības partneriem tiek plānots individuāli katrā no projektiem, līdz ar to, pamata funkciju noteikšana nav iespējama.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3</w:t>
            </w:r>
            <w:r w:rsidR="00000000" w:rsidRPr="00000000" w:rsidDel="00000000">
              <w:rPr>
                <w:rtl w:val="0"/>
              </w:rPr>
              <w:t xml:space="preserve"> Projekta iesniedzējs projekta īstenošanā var iesaistīt sadarbības partnerus.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1. projektu īsteno Latvijas Republikas zinātnisko institūciju reģistrā reģistrēta zinātniskā institūcija, kas atbilst pētniecības un zināšanu izplatīšanas organizācijai;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nepieciešamību MK noteikumos iekļaut punktu, ka ar saimniecisku darbību nesaistītos projektos projekta iesniedzējs un/vai sadarbības partneris, kas atbilst pētniecības un zināšanu izplatīšanas organizācija statusam tiek pārbaudīts atbilstoši Izglītības un zinātnes ministrijas 2024.gada 1.augustā apstiprinātajai metodikai atbilstības pētniecības un zināšanu izplatīšanas organizācijas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Ministru kabineta noteikumu Nr.108 "Normatīvo aktu projektu sagatavošanas noteikumi" 136. punktam, noteikumu projektā neietver atsau­ces uz zemāka juridiskā spēka normatīvo aktu. Ņemot vērā minēto, skaidrojums par pētniecības un zināšanu izplatīšanas organizācija statusa pārbaudi (nesaimnieciskos projektos) atbilstoši Izglītības un zinātnes ministrijas 2024.gada 1.augustā apstiprinātajai metodikai atbilstības pētniecības un zināšanu izplatīšanas organizācijas noteikumiem tiks iekļauts noteikumu projekta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1. projektu īsteno Latvijas Republikas zinātnisko institūciju reģistrā reģistrēta zinātniskā institūcija, kas atbilst pētniecības un zināšanu izplatīšanas organizācijai;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noteikumos iekļauto normu atbilstību komercdarbības atbalsta kontroles normām, lūdzam noteikumos lietot vienotu terminoloģiju: "pētniecības un zināšanu izplatīšanas organizācija", jo citur tekstā tiek lietots arī termins "pētniecības organizācija".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31.3.6. uz to (vērtējot saistības grupas līmeni) neattiecas līdzekļu atgūšanas rīkojums, kas minēts Komisijas regulas Nr. </w:t>
            </w:r>
            <w:r w:rsidR="00000000" w:rsidRPr="00000000" w:rsidDel="00000000">
              <w:rPr>
                <w:rtl w:val="0"/>
              </w:rPr>
              <w:t xml:space="preserve">651/2014</w:t>
            </w:r>
            <w:r w:rsidR="00000000" w:rsidRPr="00000000" w:rsidDel="00000000">
              <w:rPr>
                <w:rtl w:val="0"/>
              </w:rPr>
              <w:t xml:space="preserve"> 1. panta 4. punkta "a" apakšpunktā.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31.3.6. apakšpunktā vārdu "neattiecas" un "attiecas", jo kopsakarā ar 31.3. apakšpunktu veidojas dubultais noliegums. Vienlaikus aicinām redakcionāli precizēt 31.3. apakšpunkta redakciju, to izsakot šāda redakcijā: "tas neatbilst nevienam no šādiem izslēgšanas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31.3.6. uz to (vērtējot saistības grupas līmeni) attiecas līdzekļu atgūšanas rīkojums, kas minēts Komisijas regulas Nr. </w:t>
            </w:r>
            <w:r w:rsidR="00000000" w:rsidRPr="00000000" w:rsidDel="00000000">
              <w:rPr>
                <w:rtl w:val="0"/>
              </w:rPr>
              <w:t xml:space="preserve">651/2014</w:t>
            </w:r>
            <w:r w:rsidR="00000000" w:rsidRPr="00000000" w:rsidDel="00000000">
              <w:rPr>
                <w:rtl w:val="0"/>
              </w:rPr>
              <w:t xml:space="preserve"> 1. panta 4. punkta "a" apakšpunktā.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6</w:t>
            </w:r>
            <w:r w:rsidR="00000000" w:rsidRPr="00000000" w:rsidDel="00000000">
              <w:rPr>
                <w:rtl w:val="0"/>
              </w:rPr>
              <w:t xml:space="preserve">1. pētniecības un zināšanu izplatīšanas organizācijas individuāli īstenots projekts, kura ietvaros veic neatkarīgu pētniecību, lai gūtu vairāk zināšanu un labāku izpratni. Intelektuālā īpašuma tiesības, kas izriet no pētniecības un zināšanu izplatīšanas organizācijas projekta ietvaros iegūtiem pētniecības rezultātiem, pilnībā piešķir pētniecības organizācijai, kas gūst visas ekonomiskās priekšrocības no šīm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intelektuālā īpašuma tiesības ietver personiskās un mantiskās tiesības. Personiskās tiesības nav atsavināmas (kā, piemēram, autorība vai izgudrotāja vārds), tāpēc lūgums precizēt noteikumu 30.</w:t>
            </w:r>
            <w:r w:rsidR="00000000" w:rsidRPr="00000000" w:rsidDel="00000000">
              <w:rPr>
                <w:vertAlign w:val="superscript"/>
                <w:rtl w:val="0"/>
              </w:rPr>
              <w:t xml:space="preserve">6 </w:t>
            </w:r>
            <w:r w:rsidR="00000000" w:rsidRPr="00000000" w:rsidDel="00000000">
              <w:rPr>
                <w:rtl w:val="0"/>
              </w:rPr>
              <w:t xml:space="preserve">1. un 30.</w:t>
            </w:r>
            <w:r w:rsidR="00000000" w:rsidRPr="00000000" w:rsidDel="00000000">
              <w:rPr>
                <w:vertAlign w:val="superscript"/>
                <w:rtl w:val="0"/>
              </w:rPr>
              <w:t xml:space="preserve">6</w:t>
            </w:r>
            <w:r w:rsidR="00000000" w:rsidRPr="00000000" w:rsidDel="00000000">
              <w:rPr>
                <w:rtl w:val="0"/>
              </w:rPr>
              <w:t xml:space="preserve">2.2. apakšpunktu, ka tikai mantiskās tiesības attiecībā uz pētniecības rezultātiem var tikt piešķirtas pētniecības organizācijai nevis jebkādas intelektuālā īpašuma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30.</w:t>
            </w:r>
            <w:r w:rsidR="00000000" w:rsidRPr="00000000" w:rsidDel="00000000">
              <w:rPr>
                <w:vertAlign w:val="superscript"/>
                <w:rtl w:val="0"/>
              </w:rPr>
              <w:t xml:space="preserve">6</w:t>
            </w:r>
            <w:r w:rsidR="00000000" w:rsidRPr="00000000" w:rsidDel="00000000">
              <w:rPr>
                <w:rtl w:val="0"/>
              </w:rPr>
              <w:t xml:space="preserve">2.2. apakšpunktā ietverto, ka var būt izpētes rezultāti, kurus neaizsargā ar intelektuālā īpašuma tiesībām, lūdzam sniegt skaidrojumu, kādi izpētes rezultāti tie varētu būt, kurus var brīvi izplatīt un nav aizsargājami, ņemot vērā, ka intelektuālā īpašuma objekts var būt aizsargāts no tā radīšanas brīža un nav svarīgi, pabeigts vai nepabeigts, vērtīgs, nevērtīgs -  tas tiek aizsargāts.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30.</w:t>
            </w:r>
            <w:r w:rsidR="00000000" w:rsidRPr="00000000" w:rsidDel="00000000">
              <w:rPr>
                <w:vertAlign w:val="superscript"/>
                <w:rtl w:val="0"/>
              </w:rPr>
              <w:t xml:space="preserve">5</w:t>
            </w:r>
            <w:r w:rsidR="00000000" w:rsidRPr="00000000" w:rsidDel="00000000">
              <w:rPr>
                <w:rtl w:val="0"/>
              </w:rPr>
              <w:t xml:space="preserve"> un 30.</w:t>
            </w:r>
            <w:r w:rsidR="00000000" w:rsidRPr="00000000" w:rsidDel="00000000">
              <w:rPr>
                <w:vertAlign w:val="superscript"/>
                <w:rtl w:val="0"/>
              </w:rPr>
              <w:t xml:space="preserve">6</w:t>
            </w:r>
            <w:r w:rsidR="00000000" w:rsidRPr="00000000" w:rsidDel="00000000">
              <w:rPr>
                <w:rtl w:val="0"/>
              </w:rPr>
              <w:t xml:space="preserve"> punktā ietvertas prasības ar saimniecisko darbību nesaistītam projektam, kur projekta īstenošanai tiek piesaistīts publiskais finansējums, attiecīgi pētniecības organizācijai un sadarbības partnerim (ja attiecināms) nepieciešams publiskot visus pētniecības rezultātus, lai nodrošinātu nosacījumu izpildi, līdz ar to, iegūtajiem pētniecības rezultātiem netiek piemērotas intelektuālā īpašuma tiesību prasības (netiek aizsargātas), proti, tās ir pieejamas visiem. Vienlaikus norādām, ka intelektuālā īpašuma tiesību nodošana attiecināmā uz pētniecības organizācijas veikto pētījumu rezultātiem kā tas norādīts noteikumu projekta punktā. Vēršam uzmanību, ka līdzīga prakse tiek piemērota arī citās atbalsta programmās, kā piemēram, Izglītības un zinātnes ministrijas praktiskas ievirzes pētījumu atbalsta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7</w:t>
            </w:r>
            <w:r w:rsidR="00000000" w:rsidRPr="00000000" w:rsidDel="00000000">
              <w:rPr>
                <w:rtl w:val="0"/>
              </w:rPr>
              <w:t xml:space="preserve">2. projektā īsteno saimnieciskas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punktu ar saimnieciskās darbības definīciju.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saimnieciska rakstura darbība - jebkura darbība, kas ietver preču vai pakalpojumu piedāvāšanu tirgū, tai skaitā pētniecības infrastruktūras iznomāšana, saimnieciskās darbības veicēju uzdevumā īstenoti pakalpojumi vai līgumpētījumi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Atbalstu projekta iesniedzējam nepiešķir šādām nozarēm un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grozījumu noteikumu projekts paredz sadarbības partneru iesaisti projektu īstenošanā, lūdzam pārskatīt noteikuma projekta normas un izvērtēt, vai visi atbilstošie nosacījumi ir iekļauti arī attiecībā uz sadarbības partneri, piemēram, noteikumu projekta 40., 55., 56.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Atbalstu projekta iesniedzējam un sadarbības partnerim nepiešķir šādām nozarēm un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Projekta iesniedzējam un sadarbības partnerim atbalstu nepiešķir,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MKN grozījumi paredz sniegt atbalstu arī nesaimnieciskajiem pētījumiem uz kuru iesniedzējiem neattiecas Komisijas reg.651/2014 izslēdzošie nosacījumi (piem. par nepieciešamību pārbaudīt, ka atbalsta saņēmējs neatbilst grūtībās nonākušam komersantam saskaņā ar Komisijas reg.651/2014 2.panta 18.punktam), lūdzam izvērtēt gan MKN grozījumu 42.punktā noteikto prasību attiecināšanu uz nesaimniecisko projektu iesniedzējiem, gan uz citiem Komisijas reg. 651/2014 nosacījumiem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42.1. apakšpunkts precizēts, nosakot, ka atbalsta saņēmējs grūtībās nonākušam komersantam statusa pārbaude tiek veikta tikai attiecībā uz ar saimniecisko darbību saistītiem projektiem. Skaidrojam, ka pārējās atbilstības prasības tiek saglabātas abiem atbalsta saņemšanas veidiem, ņemot vērā, ka tiek piesaistīts publisks finansējums un tā izlietojumam jābūt mērķorientētam, kur atbalsts tiek piešķiršanas komersantiem, kuriem nav apšaubāma reputācija un tiek ievērotas horizontālās Eiropas Savienības fondu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Projekta iesniedzējam un sadarbības partnerim atbalstu nepiešķir,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tas (vērtējot saistības grupas līmeni) atbilst kādai no Komisijas regulas Nr. </w:t>
            </w:r>
            <w:r w:rsidR="00000000" w:rsidRPr="00000000" w:rsidDel="00000000">
              <w:rPr>
                <w:rtl w:val="0"/>
              </w:rPr>
              <w:t xml:space="preserve">651/2014</w:t>
            </w:r>
            <w:r w:rsidR="00000000" w:rsidRPr="00000000" w:rsidDel="00000000">
              <w:rPr>
                <w:rtl w:val="0"/>
              </w:rPr>
              <w:t xml:space="preserve"> 2. panta 18. punktā minētajām pazīmēm;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iesniedzējam un sadarbības partnerim Komisijas reg.651/2014 2.panta 18.punkta pazīmes nepieciešams vērtēt gan uzņēmumam individuāli, gan tā saistīto uzņēmumu grupai, šī apakšpunkta nepārprotamākai interpretācijai aicinu to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tas (</w:t>
            </w:r>
            <w:r w:rsidR="00000000" w:rsidRPr="00000000" w:rsidDel="00000000">
              <w:rPr>
                <w:b w:val="1"/>
                <w:rtl w:val="0"/>
              </w:rPr>
              <w:t xml:space="preserve">t.sk.vērtējot saistītās grupas līmenī</w:t>
            </w:r>
            <w:r w:rsidR="00000000" w:rsidRPr="00000000" w:rsidDel="00000000">
              <w:rPr>
                <w:rtl w:val="0"/>
              </w:rPr>
              <w:t xml:space="preserve">) atbilst kādai no Komisijas regulas Nr. 651/2014 2. panta 18. punktā minētajām pazīmēm;"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 tas (t.sk. vērtējot saistības grupas līmeni) atbilst kādai no Komisijas regulas Nr. </w:t>
            </w:r>
            <w:r w:rsidR="00000000" w:rsidRPr="00000000" w:rsidDel="00000000">
              <w:rPr>
                <w:rtl w:val="0"/>
              </w:rPr>
              <w:t xml:space="preserve">651/2014</w:t>
            </w:r>
            <w:r w:rsidR="00000000" w:rsidRPr="00000000" w:rsidDel="00000000">
              <w:rPr>
                <w:rtl w:val="0"/>
              </w:rPr>
              <w:t xml:space="preserve"> 2. panta 18. punktā minētajām pazīmēm;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 iekārtu iegādes, instrumentu, iekārtu un to aprīkojuma nomas maksa atbilstoši Komisijas regulas Nr. </w:t>
            </w:r>
            <w:r w:rsidR="00000000" w:rsidRPr="00000000" w:rsidDel="00000000">
              <w:rPr>
                <w:rtl w:val="0"/>
              </w:rPr>
              <w:t xml:space="preserve">651/2014</w:t>
            </w:r>
            <w:r w:rsidR="00000000" w:rsidRPr="00000000" w:rsidDel="00000000">
              <w:rPr>
                <w:rtl w:val="0"/>
              </w:rPr>
              <w:t xml:space="preserve"> 25. panta 3. punkta "b" apakšpunktam, ciktāl to izmanto pētniecības vai tehniski ekonomiskās priekšizpētes darbībām, un nepārsniedzot tirgū noteikto cenu. Attiecināmā instrumentu, iekārtu un to aprīkojuma mēneša nomas maksa tiek pielīdzināta amortizācijas izmaksām, kādas tās būtu, ja instrumenti, iekārtas un to aprīkojums būtu atbalsta saņēmēja vai sadarbības partnera īpašumā. Izmaksām jāpiemēro tāda pati nolietojuma aprēķināšanas metode kā nomnieka īpašumā esošajiem pamatlīdzekļiem. Atbalsta saņēmējam un sadarbības partnerim jāiesniedz attiecīgie dokumenti, kas apliecina nomāto instrumentu, iekārtu un to aprīkojuma tirgus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iekārtu iegādes attiecināmības nosacījumus citos pētniecību SAM MK noteikumos, lūdzam papildināt 43.6. apakšpunktu nosakot, ka Iekārtu iegādes izmaksas attiecināmas, ja pamatlīdzekļu izmantošanas laiks saskaņā ar finansējuma saņēmēja vai sadarbības partnera grāmatvedības politikā noteikto uzskaiti projekta ietvaros aptver visu šo pamatlīdzekļu lietderīgās lietošanas laiku. Ja pamatlīdzekļu izmantošanas laiks projekta ietvaros neaptver visu šo pamatlīdzekļu lietderīgās lietošanas laiku, izmaksas ir attiecināmas kā iekārtas amortizācijas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43.6. instrumentu, iekārtu un to aprīkojuma nomas maksa atbilstoši Komisijas regulas Nr. </w:t>
            </w:r>
            <w:r w:rsidR="00000000" w:rsidRPr="00000000" w:rsidDel="00000000">
              <w:rPr>
                <w:rtl w:val="0"/>
              </w:rPr>
              <w:t xml:space="preserve">651/2014</w:t>
            </w:r>
            <w:r w:rsidR="00000000" w:rsidRPr="00000000" w:rsidDel="00000000">
              <w:rPr>
                <w:rtl w:val="0"/>
              </w:rPr>
              <w:t xml:space="preserve"> 25. panta 3. punkta "b" apakšpunktam, ciktāl to izmanto pētniecības vai tehniski ekonomiskās priekšizpētes darbībām, un nepārsniedzot tirgū noteikto cenu. Attiecināmā instrumentu, iekārtu un to aprīkojuma mēneša nomas maksa tiek pielīdzināta amortizācijas izmaksām, kādas tās būtu, ja instrumenti, iekārtas un to aprīkojums būtu atbalsta saņēmēja vai sadarbības partnera īpašumā. Izmaksām jāpiemēro tāda pati nolietojuma aprēķināšanas metode kā nomnieka īpašumā esošajiem pamatlīdzekļiem. Atbalsta saņēmējam un sadarbības partnerim jāiesniedz attiecīgie dokumenti, kas apliecina nomāto instrumentu, iekārtu un to aprīkojuma tirgus vērtību;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43.6. </w:t>
            </w:r>
            <w:r w:rsidR="00000000" w:rsidRPr="00000000" w:rsidDel="00000000">
              <w:rPr>
                <w:rtl w:val="0"/>
              </w:rPr>
              <w:t xml:space="preserve">apakšpunktā</w:t>
            </w:r>
            <w:r w:rsidR="00000000" w:rsidRPr="00000000" w:rsidDel="00000000">
              <w:rPr>
                <w:rtl w:val="0"/>
              </w:rPr>
              <w:t xml:space="preserve"> minētās iekārtu iegādes izmaksas veido ne vairāk kā 10 procentus no projekta kopējā attiecināmo izmaksu apmēra. Ja projekts tiek īstenots ar sadarbības partneriem, minētais ierobežojums tiek noteikts attiecībā pret katra sadarbības partnera kopējo attiecināmo izmaksu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iekārtu iegādes izmaksas ir minētas 43.14. apakšpunktā, lūdzam precizēt atsauci no 43.6. apakšpunkta uz 43.14.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Šo noteikumu 43.14. apakšpunktā minētās iekārtu iegādes izmaksas veido ne vairāk kā 10 procentus no projekta kopējā attiecināmo izmaksu apmēra. Ja projekts tiek īstenots ar sadarbības partneriem, minētais ierobežojums tiek noteikts attiecībā pret katra sadarbības partnera kopējo attiecināmo izmaksu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43.14. </w:t>
            </w:r>
            <w:r w:rsidR="00000000" w:rsidRPr="00000000" w:rsidDel="00000000">
              <w:rPr>
                <w:rtl w:val="0"/>
              </w:rPr>
              <w:t xml:space="preserve">apakšpunktā</w:t>
            </w:r>
            <w:r w:rsidR="00000000" w:rsidRPr="00000000" w:rsidDel="00000000">
              <w:rPr>
                <w:rtl w:val="0"/>
              </w:rPr>
              <w:t xml:space="preserve"> minētās instrumentu, iekārtu un to aprīkojuma iegādes izmaksas veido ne vairāk kā 10 procentus no projekta kopējā attiecināmo izmaksu apmēra. Ja projekts tiek īstenots ar sadarbības partneriem, minētais ierobežojums tiek noteikts attiecībā pret katra sadarbības partnera kopējo attiecināmo izmaksu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55.4. atbalsta saņēmējs apņemas Eiropas Ekonomikas zonas (turpmāk – EEZ) ieinteresētajām personām par tirgus cenu, neekskluzīvi un nediskriminējoši darīt pieejamas licences attiecībā uz projektā veiktās pētniecības rezultātiem, kuri ir aizsargāti ar intelektuālā īpašuma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29. punktā jaunā redakcijā izteiktā noteikumu 55.4. apakšpunkts, kā arī noteikumu 56.3.2. apakšpunkts paredz, ka atbalsta saņēmējs apņemas ieinteresētajām personām par tirgus cenu, neekskluzīvi un nediskriminējoši darīt pieejamas licences attiecībā uz projektā veiktās pētniecības rezultātiem, kuri ir aizsargāti ar intelektuālā īpašuma tiesībām. Lūdzam sniegt skaidrojumu anotācijā, kādā veidā būtu nosakāma šī tirgus cena pētniecības rezultātiem, kuri būs aizsargāti ar intelektuālā īpašuma tiesībām un kā izprotamas nediskriminējošas licences un kādos gadījumos šie nosacījumi tiktu pārkāpti.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 šādā redakcijā: </w:t>
            </w:r>
            <w:r w:rsidR="00000000" w:rsidRPr="00000000" w:rsidDel="00000000">
              <w:rPr>
                <w:i w:val="1"/>
                <w:rtl w:val="0"/>
              </w:rPr>
              <w:t xml:space="preserve">Tirgus cenas noteikšana pētniecības rezultātiem, kas ir aizsargāti ar intelektuālā īpašuma tiesībām, var tikt veikta, balstoties uz starptautiski atzītiem vērtēšanas principiem, salīdzināmiem darījumiem tirgū un licencēšanas praksi konkrētajā nozarē. Cena var tikt noteikta, ņemot vērā izmaksu pieeju (pētniecības un attīstības izmaksas, pieskaitot saprātīgu peļņas normu), ienākumu pieeju (nākotnes ieņēmumu prognozes no intelektuālā īpašuma izmantošanas) vai tirgus pieeju (salīdzināmi licencēšanas darījumi vai līdzīgi intelektuālā īpašuma pārdošanas gadījumi).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noteikumu projektā tiek definēts, ka projekta rezultātu licences (ja attiecināms) tiek darītas pieejamas neekskluzīvi un nediskriminējoši. Minētajā punktā nav runa par "nediskriminējošām licencēm". Līdz ar to, ar neekskluzīvu un nediskriminējošu pieeju tiek saprast, ka pieeja tiek nodrošināta visiem, nevis konkrētam cilvēku lokam.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55.4. atbalsta saņēmējs apņemas Eiropas Ekonomikas zonas (turpmāk – EEZ) ieinteresētajām personām par tirgus cenu, neekskluzīvi un nediskriminējoši darīt pieejamas licences attiecībā uz projektā veiktās pētniecības rezultātiem, kuri ir aizsargāti ar intelektuālā īpašuma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63.13. nodrošināt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minētās informācijas ievadi vadības informācijas sistēmā, ko nozares ministrija izmanto pārraudzības darbībās.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63.13. apakšpunktu, norādot uz </w:t>
            </w:r>
            <w:r w:rsidR="00000000" w:rsidRPr="00000000" w:rsidDel="00000000">
              <w:rPr>
                <w:u w:val="single"/>
                <w:rtl w:val="0"/>
              </w:rPr>
              <w:t xml:space="preserve">informāciju, ko</w:t>
            </w:r>
            <w:r w:rsidR="00000000" w:rsidRPr="00000000" w:rsidDel="00000000">
              <w:rPr>
                <w:rtl w:val="0"/>
              </w:rPr>
              <w:t xml:space="preserve"> nozares ministrija izmanto pārraudzības darbībās, nevis </w:t>
            </w:r>
            <w:r w:rsidR="00000000" w:rsidRPr="00000000" w:rsidDel="00000000">
              <w:rPr>
                <w:u w:val="single"/>
                <w:rtl w:val="0"/>
              </w:rPr>
              <w:t xml:space="preserve">sistēmu, ko</w:t>
            </w:r>
            <w:r w:rsidR="00000000" w:rsidRPr="00000000" w:rsidDel="00000000">
              <w:rPr>
                <w:rtl w:val="0"/>
              </w:rPr>
              <w:t xml:space="preserve"> nozares ministrija izmanto pārraudzības darbībās (sk. anotācijā ietverto skaidrojumu: "</w:t>
            </w:r>
            <w:r w:rsidR="00000000" w:rsidRPr="00000000" w:rsidDel="00000000">
              <w:rPr>
                <w:i w:val="1"/>
                <w:rtl w:val="0"/>
              </w:rPr>
              <w:t xml:space="preserve">Noteikumi Nr.116 tiek papildināti ar 63.13. apakšpunktu nosakot pienākumu atbalsta saņēmējam iesniegt Kohēzijas politikas fondu vadības informācijas sistēmā viedās specializācijas stratēģijas datus,</w:t>
            </w:r>
            <w:r w:rsidR="00000000" w:rsidRPr="00000000" w:rsidDel="00000000">
              <w:rPr>
                <w:i w:val="1"/>
                <w:u w:val="single"/>
                <w:rtl w:val="0"/>
              </w:rPr>
              <w:t xml:space="preserve"> lai Ekonomikas ministrija veiktu pārraudzības darbības,</w:t>
            </w:r>
            <w:r w:rsidR="00000000" w:rsidRPr="00000000" w:rsidDel="00000000">
              <w:rPr>
                <w:i w:val="1"/>
                <w:rtl w:val="0"/>
              </w:rPr>
              <w:t xml:space="preserve"> t.sk. viedās specializācijas stratēģijas jomu monitoringu</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63.13. nodrošināt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minētās informācijas ievadi vadības informācijas sistēmā, ko nozares ministrija izmanto pārraudzības darbībās.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7.punkts jau paredz nosacījumu atbalsta saņēmējam ievadīt datus par nacionālajiem rādītājiem vadības informācijas sistēmā, tāpēc lūdzam izvērtēt 63.13. apakšpunkta iekļaušanas nepieciešamību vai skaidrot kā atšķiras abu punktu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25-TA-105</w:t>
    </w:r>
    <w:r>
      <w:br/>
    </w:r>
    <w:r w:rsidR="00000000" w:rsidRPr="00000000" w:rsidDel="00000000">
      <w:rPr>
        <w:rtl w:val="0"/>
      </w:rPr>
      <w:t xml:space="preserve">07.03.2025. 12.00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25-TA-105</w:t>
    </w:r>
    <w:r>
      <w:br/>
    </w:r>
    <w:r w:rsidR="00000000" w:rsidRPr="00000000" w:rsidDel="00000000">
      <w:rPr>
        <w:rtl w:val="0"/>
      </w:rPr>
      <w:t xml:space="preserve">07.03.2025. 12.00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Izziņa_25-TA-105.docx</dc:title>
</cp:coreProperties>
</file>

<file path=docProps/custom.xml><?xml version="1.0" encoding="utf-8"?>
<Properties xmlns="http://schemas.openxmlformats.org/officeDocument/2006/custom-properties" xmlns:vt="http://schemas.openxmlformats.org/officeDocument/2006/docPropsVTypes"/>
</file>