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22-TA-1213: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sākotnējā anotācijā skaidroto, ka publiskais finansējums, kas piešķirts MK noteikumu ietvaros netiek kvalificēts kā komercdarbības atbalsts un šim pasākumam valsts atbalsta normas netiek piemērotas, vēršam uzmanību, ka gadījumā, ja MK noteikumos ietvertie nosacījumi ievēroti netiek un publiskais finansējums tiek piešķirts aktivitātēm, kas saistītas ar saimnieciskās darbības veikšanu, tad publiskā finansējuma piešķīrums potenciāli ir kvalificējams kā nelikumīgs komercdarbības atbalsts un atbalsta sniedzējam ir jānodrošina tā atgūšana, ievērojot Komercdarbības atbalsta kontroles likuma IV vai V daļā noteikto. Ievērojot minēto, lūdzam precizēt MK noteikumu 82.punktu. Paraugam lūdzam skatīt, piemēram, Ministru kabineta 2016. gada 12. janvāra noteikumi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īstenošanas noteikumi" 47.2.apakšpunktu.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lauku attīstības programmas 2014. – 2020.gadam (turpmāk – LAP) 13.nodaļu pasākums “Sadarbība” nav uzskatāms par valsts atbalstu un tas netiek kvalificēts kā komercdarbības atbalsts, tādēļ nav nepieciešams likt atsauci uz Komercdarbības atbalsta kontroles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Izraksts no LAP 13.9.sadaļas: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paziņojuma Nostādnes par valsts atbalstu pētniecībai, izstrādei un inovācijai (2014/C198/01) 28. punktu Latvijas iestādes uzskata, ka atbalsts saskaņā ar šo pasākumu nav valsts atbalsts  Līguma par Eiropas Savienības darbību (LESD) izpratnē. Tādēļ Latvija neplāno paziņot Komisijai par atbalstu 16.1. un 16.2.apakšapsākumu ietvaros kā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5.5.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produktīvās investīcijas – tieši ar projekta mērķi saistīti ieguldījumi materiālajos aktīvos (piemēram, tehnikā, iekārtās un to aprīkojumā), kas pēc projekta īstenošanas var tikt izmantoti saimnieciskajā darbībā un kas tieši nodrošina peļņas gūšanu vai produktu ražošanas procesus;".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izteiktajā Ministru kabineta 2017. gada 25. aprīļa noteikumu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 (turpmāk- noteikumi) 5.5. apakšpunktā labots noteikumos lietotā termina “produktīvās investīcijas” skaidrojums, norādot, ka produktīvās investīcijas ir tieši ar projekta mērķi saistīti ieguldījumi 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skaidrota iepriekš minētā grozījuma nepieciešamība un mērķis, nav arī skaidrots, vai grozījumi ietekmēs atbalsta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papildināt noteikumu projekta anotāciju ar grozījumu nepieciešamības pamatojumu un to ietekmi uz atbalsta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222 5.5.apakšpunkta termins “produktīvās investīcijas” skaidrots, ka produktīvās investīcijas  ir kapitāla ieguldīšana 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projektu īstenošanas pieredze liecina, ka projekta dalībnieki esošo projekta finansējumu ne vienmēr novirza projekta mērķu sasniegšanai, tāpēc nepieciešams skaidrāk izteikt, ka produktīvās investīcijas ir tieši saistītas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“Sadarbība” ietvaros ir atbalstāmas tikai tās produktīvās investīcijas, kuras ir saistīts ar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atbalstāmas produktīvās investīcijas saimnieciskās darbības nodrošināšanai, tās tiek atbalstītas pasākumā "Ieguldījumi 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precizēts termins “produktīvās investīcijas”, norādot, ka tās ir tieši ar projekta mērķi saistīti ieguldījumi materiālajos aktīvos.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5.5.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produktīvās investīcijas – tieši ar projekta mērķi saistīti ieguldījumi materiālajos aktīvos (piemēram, tehnikā, iekārtās un to aprīkojumā), kas pēc projekta īstenošanas var tikt izmantoti saimnieciskajā darbībā un kas tieši nodrošina peļņas gūšanu vai produktu ražošanas procesus;".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5.9.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lauksaimnieks – juridiska vai fiziska persona, kas ražojusi lauksaimniecības produktus un guvusi ieņēmumus no lauksaimniecības produktu pārdošanas pēdējā noslēgtajā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veiktie grozījumi apgrūtina jēdziena “lauksaimnieks” izpratni un padara šī jēdziena tvērumu neskaidru.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“Noteikumu projekta 2. punktā minētais termins precizēts atbilstoši Ministru kabineta 2021. gada 30. novembra noteikumu Nr. 776 "Valsts un Eiropas Savienības atbalsta piešķiršanas kārtība atklātu projektu konkursa veidā pasākumā "Ieguldījumi materiālajos aktīvos" 2014.–2020. gada plānošanas perioda pārejas laikā 2021. un 2022. gadā" 2.2. apakšpunktam, lai saskaņotu definīcijas lietojumu dažādos atbalsta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2021. gada 30. novembra noteikumu Nr. 776 "Valsts un Eiropas Savienības atbalsta piešķiršanas kārtība atklātu projektu konkursa veidā pasākumā "Ieguldījumi materiālajos aktīvos" 2014.–2020. gada plānošanas perioda pārejas laikā 2021. un 2022. gadā" 2.2. apakšpunkta ir sniegta “lauku saimniecības” definīcija, nevis “lauksaimnieka” definīcija, kā arī lauku saimniecības definīcijā tiek minēti lauksaimniecības produkti, kuru definīcija ir skaidrota šo noteikumu 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noteikumu projekta 2. punktā izteiktajā noteikumu 5.9. apakšpunktā ir dota “lauksaimnieka” definīcija, kurā nav skaidrots jēdziena “lauksaimniecības produkti”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noteikumu projektu vai noteikumu projekta 2. punktā izteikto noteikumu 5.9. apakšpunktu ar definīciju vai skaidrojumu, kas šo noteikumu izpratnē ir uzskatāmi par lauksaimniecības produktiem un to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2.punktā ir izmantots termins “lauksaimnieks”, jo šāds termins ir lietots noteikumu Nr.222 tekstā un tas pēc būtības neatšķiras no termina “lauku saimniecība”. Noteikumu Nr.222 kontekstā termins “lauksaimnieks” nozīmē, ka tā ir juridiska vai fiziska persona, kas ražo lauksaimniecības produktus un gūst ienākumus no to pārdošanas.  Tāda pati nozīme ir terminam “lauku saimniecība” noteikumos Nr.776.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Parlamenta un Padomes 2013.gada 17.decembra Regulas (ES) Nr.1305/2013 par atbalstu lauku attīstībai no Eiropas Lauksaimniecības fonda lauku attīstībai (ELFLA) un ar ko atceļ Padomes Regulu (EK) Nr. 1698/2005 ietvarā tiek lietoti abi šie termini, nenodalot specifiski tos pēc būtības, piemēram, minētās regulas 17.pantā.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“lauksaimniecības produkti” ir skaidrots noteikumu Nr.222 5.11.apakšpunktā.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5.9.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lauksaimnieks – juridiska vai fiziska persona, kas ražojusi lauksaimniecības produktus un guvusi ieņēmumus no lauksaimniecības produktu pārdošanas pēdējā noslēgtajā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noteikumus ar 54.1.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w:t>
            </w:r>
            <w:r w:rsidR="00000000" w:rsidRPr="00000000" w:rsidDel="00000000">
              <w:rPr>
                <w:vertAlign w:val="superscript"/>
                <w:rtl w:val="0"/>
              </w:rPr>
              <w:t xml:space="preserve">1 </w:t>
            </w:r>
            <w:r w:rsidR="00000000" w:rsidRPr="00000000" w:rsidDel="00000000">
              <w:rPr>
                <w:rtl w:val="0"/>
              </w:rPr>
              <w:t xml:space="preserve">vadošais partneris ir primārais ražotājs lauksaimniecības vai mežsaimniecības nozarē vai lauksaimniecības produktu pārstrādātājs;".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Komisijas paziņojuma Nostādnes par valsts atbalstu pētniecībai, izstrādei un inovācijai (2014/C 198/01) 19.punktam par nesaimnieciska rakstura darbībām tiek uzskatītas </w:t>
            </w:r>
            <w:r w:rsidR="00000000" w:rsidRPr="00000000" w:rsidDel="00000000">
              <w:rPr>
                <w:u w:val="single"/>
                <w:rtl w:val="0"/>
              </w:rPr>
              <w:t xml:space="preserve">pētniecības organizāciju un pētniecības infrastruktūru pamatdarbības (-</w:t>
            </w:r>
            <w:r w:rsidR="00000000" w:rsidRPr="00000000" w:rsidDel="00000000">
              <w:rPr>
                <w:rtl w:val="0"/>
              </w:rPr>
              <w:t xml:space="preserve"> izglītība nolūkā panākt personāla daudzuma un kvalifikācijas pieaugumu; -neatkarīga pētniecība un izstrāde, lai gūtu vairāk zināšanu un labāku izpratni, tostarp kopīga pētniecība un izstrāde, kad pētniecības organizācija vai pētniecības infrastruktūra iesaistās efektīvā sadarbībā;-pētniecības rezultātu plaša izplatīšana bez ekskluzivitātes un diskriminēšanas; -zināšanu pārneses darbības, ja tās veic pētniecības organizācija vai pētniecības infrastruktūra (tostarp to nodaļas vai meitasuzņēmumi), vai kopīgi ar citām šādām struktūrām, vai to uzdevumā, un, ja visa peļņa no šādām darbībām tiek atkal ieguldīta pētniecības organizācijas vai pētniecības infrastruktūras pamatdarbībās). Ievērojot to, ka ar grozījumu projektu plānots, ka vadošais partneris ir primārais ražotājs lauksaimniecības vai mežsaimniecības nozarē vai lauksaimniecības produktu pārstrādātājs, lūdzam skaidrot, kā plānotās izmaiņas MK noteikumos joprojām nodrošinās, ka MK noteikumos plānotās aktivitātes nekvalificēsies kā komercdarbības atbalsts un uz abiem pētniecības pasākumiem komercdarbības atbalsta kontroles normas nav jāattiecina. Vēršam uzmanību, ka MK noteikumu tekstam ir viennozīmīgi jānodrošina skaidrība par atbilstību iepriekšminēto Nostādņu 19.punktam - gan esošajā, gan nākotnes redakcijā. Lūdzam arī iekļaut skaidrojumu anotācijā par to, kā tiek nodrošināta atbilstība Nostādņu 19.punktam, proti, kāpēc plānotās aktivitātes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publiskais finansējums ir kvalificējams kā komercdarbības atbalsts, normatīvais akts ir papildināms ar piemērojamā komercdarbības atbalsta regulējuma nosacījumiem, piemēram, ar  Eiropas Komisijas 2014. gada 17. jūnija Regulas Nr. 651/2014, ar ko noteiktas atbalsta kategorijas atzīst par saderīgām ar iekšējo tirgu, piemērojot Līguma 107. un 108. pantu (turpmāk – Komisijas regula Nr. 651/2014), 25.pantu un tā saistītajām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paziņojuma Nostādnes par valsts atbalstu pētniecībai, izstrādei un inovācijai (2014/C198/01) 28. punktu Latvijas iestādes uzskata, ka atbalsts saskaņā ar šo pasākumu nav valsts atbalsts LESD izpratnē. Tādēļ Latvija neplāno paziņot Komisijai par atbalstu 16.1. un 16.2.apakšapsākumu ietvaros kā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aktivitātes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“Sadarbība” pētnieki nepiedalās pamatdarbības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Nr.222 5.19. apakšpunktu “vadošais partneris” ir darba grupas partneris, kas ir tiesīgs pārstāvēt sadarbības partnerus, iesniegt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Lauku atbalsta dienestā, saņemt atbalstu, kā arī vadīt un koordinēt projekta īstenošanu un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priekšapmaksas tālāku novirzīšanu sadarbības partneriem atbilstoši to īstenotajām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Vadošais partneris nedara visus ar projekta izpildi saistītos darbus, darbi tiek sadalīti starp iesaistītajiem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Iepriekšējās 16. pasākuma "Sadarbība" 16.2. apakšpasākuma "Atbalsts jaunu produktu, metožu, procesu un tehnoloģiju izstrādei" atbalsta kārtās ir novērots, ka vadošais partneris diezgan bieži ir pētnieks. Tā kā 16.2. apakšpasākuma mērķis ir sniegt atbalstu jaunu risinājumu izstrādei, kas pamatoti ar praktiskām vajadzībām un lai būtu izmantojami praksē lauku saimniecībā, vienlaikus veicinot sadarbību starp vismaz diviem partneriem lauksaimniecības, mežsaimniecības vai lauksaimniecības produktu pārstrādes nozarē jaunu produktu, metožu, procesu un tehnoloģiju izstrādei, tad vadošajam partnerim ir jābūt primārajam ražotājam lauksaimniecības vai mežsaimniecības nozarē vai lauksaimniecības produktu pārstrādātājam.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paziņojuma Nostādnes par valsts atbalstu pētniecībai, izstrādei un inovācijai (2014/C198/01) 28. punktu Latvijas iestādes uzskata, ka atbalsts saskaņā ar šo pasākumu nav valsts atbalsts Līguma par Eiropas Savienības darbību LESD izpratnē, tādēļ plānotās aktivitātes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noteikumus ar 54.1.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w:t>
            </w:r>
            <w:r w:rsidR="00000000" w:rsidRPr="00000000" w:rsidDel="00000000">
              <w:rPr>
                <w:vertAlign w:val="superscript"/>
                <w:rtl w:val="0"/>
              </w:rPr>
              <w:t xml:space="preserve">1 </w:t>
            </w:r>
            <w:r w:rsidR="00000000" w:rsidRPr="00000000" w:rsidDel="00000000">
              <w:rPr>
                <w:rtl w:val="0"/>
              </w:rPr>
              <w:t xml:space="preserve">vadošais partneris ir primārais ražotājs lauksaimniecības vai mežsaimniecības nozarē vai lauksaimniecības produktu pārstrādātājs;".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veiktie grozījumi noteikumu 54.1.1 apakšpunktā paredz noteikt jaunu papildu nosacījumu atbalsta pretendentam atbalsta saņemšanai, t.i. paredzot, ka vadošais partneris ir primārais ražotājs lauksaimniecības vai mežsaimniecības nozarē vai lauksaimniecības produktu pārstrādātājs. Attiecīgi tiek sašaurināts personu loks, kuras var pretendēt uz atbalstu. Vēršam uzmanību, ka no noteikumu projekta anotācijā sniegtā skaidrojuma nerodas pārliecība, ka iepriekš minētais grozījums sader ar tiesiskās paļāvības principu un kā tas ietekmēs jau izsniegtos aizdevumus saņēmējiem, kas saņēmuši atbalstu, bet atbalsta saņēmējs nav vadošais partneris ir primārais ražotājs lauksaimniecības vai mežsaimniecības nozarē vai lauksaimniecības produktu pārstrādātājs. 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4. punkta redakcijas izriet regulējuma piemērošana ar atpakaļejošu spēku. Latvijas tiesību sistēmā nav piemērojamas tiesību normas ar atpakaļejošu spēku. Proti, Oficiālo publikāciju un tiesiskās informācijas likuma 9. pants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projekta anotācijā izvērsti skaidrot, kā iepriekš minētais noteikumu projektā paredzētais grozījums noteikt jaunu papildu nosacījumu atbalsta pretendentam atbalsta saņemšanai, t.i., paredzot, ka vadošais partneris ir primārais ražotājs lauksaimniecības vai mežsaimniecības nozarē vai lauksaimniecības produktu pārstrādātājs ietekmēs personas, kuras jau ir saņēmušas atbalstu ar spēkā esošo atbalsta pretendetu regulējumu (vai minētajām personām pasliktināsies tiesiski iegūtais stāvoklis), tai skaitā, vai aizdevumu saņēmušās personas ir informētas par iespējamo grozījumu un tās brīvprātīgi piekritušas šādam grozījumam. Ja minētais grozījums negatīvi un bez būtiska pamatojuma ietekmēs personu jau iegūtās tiesības, Tieslietu ministrija nevar atbalstīt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noteikumu projekta anotācijas I sadaļas 2. punktu atbilstoši Ministru kabineta 2009. gada 15. decembra instrukcijas Nr. 19 ''Tiesību akta projekta sākotnējās ietekmes izvērtēšanas kārtība'' (turpmāk – Instrukcija) 14. punktam, sniedzot izvērstu pamatojumu noteikumu projekta 4. punktā izteiktā noteikumu 54.1.1 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noteikuma projekta pieņemšanas, nosacījums, ka  vadošais partneris ir primārais ražotājs lauksaimniecības vai mežsaimniecības nozarē vai lauksaimniecības produktu pārstrādātājs, attieksies uz jaunu atbalsta pieteikšanās kārtu, t.i., jauniem atbalsta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nepiemēros ar atpakaļejošu spēku un tā neietekmēs jau esošos atbalsta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Iepriekšējās 16. pasākuma "Sadarbība" 16.2. apakšpasākuma "Atbalsts jaunu produktu, metožu, procesu un tehnoloģiju izstrādei" atbalsta kārtās ir novērots, ka vadošais partneris diezgan bieži ir pētnieks. Tā kā 16.2. apakšpasākuma mērķis ir sniegt atbalstu jaunu risinājumu izstrādei, kas pamatoti ar praktiskām vajadzībām un lai būtu izmantojami praksē lauku saimniecībā, vienlaikus veicinot sadarbību starp vismaz diviem partneriem lauksaimniecības, mežsaimniecības vai lauksaimniecības produktu pārstrādes nozarē jaunu produktu, metožu, procesu un tehnoloģiju izstrādei, tad vadošajam partnerim ir jābūt primārajam ražotājam lauksaimniecības vai mežsaimniecības nozarē vai lauksaimniecības produktu pārstrādātājam.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paziņojuma Nostādnes par valsts atbalstu pētniecībai, izstrādei un inovācijai (2014/C198/01) 28. punktu Latvijas iestādes uzskata, ka atbalsts saskaņā ar šo pasākumu nav valsts atbalsts Līguma par Eiropas Savienības darbību LESD izpratnē, tādēļ plānotās aktivitātes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noteikumus ar 54.1.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w:t>
            </w:r>
            <w:r w:rsidR="00000000" w:rsidRPr="00000000" w:rsidDel="00000000">
              <w:rPr>
                <w:vertAlign w:val="superscript"/>
                <w:rtl w:val="0"/>
              </w:rPr>
              <w:t xml:space="preserve">1 </w:t>
            </w:r>
            <w:r w:rsidR="00000000" w:rsidRPr="00000000" w:rsidDel="00000000">
              <w:rPr>
                <w:rtl w:val="0"/>
              </w:rPr>
              <w:t xml:space="preserve">vadošais partneris ir primārais ražotājs lauksaimniecības vai mežsaimniecības nozarē vai lauksaimniecības produktu pārstrādātājs;".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Zemkopības ministrijas noteikumu projekta izziņā sniegtos skaidrojumus par Tieslietu ministrijas atzinumā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Zemkopības ministrija norāda, ka jaunie ierobežojošākie nosacījumi (izziņas 5,.6. punkts) “attieksies uz jaunu atbalsta pieteikšanās kārtu, t.i., jauniem atbalsta pretendentiem. Tiesību normu nepiemēros ar atpakaļejošu spēku un tā neietekmēs jau esošos atbalsta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noteikumu projekta 4. un 6. punktā izteikto noteikumu grozījumu redakcijas neizriet, ka regulējums attieksies uz jaunu atbalsta pieteikšanās kārtu, t.i., jauniem atbalsta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prezidēt noteikumu projekta 4. un 6. punktu, nosakot, ka jaunais regulējums attieksies uz jaunu atbalsta pieteikšanās kārtu vai lūdzam izvērtēt iespēju un nepieciešamību papildināt noteikumu projektu ar noslēguma jautājumu atbilstoši Ministru kabineta 2009. gada 3. februāra noteikumu Nr. 108 "Normatīvo aktu projektu sagatavošanas noteikumi" (turpmāk – noteikumi Nr. 108) 115. un 116.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noslēguma jautājumu.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noteikumus ar 54.1.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w:t>
            </w:r>
            <w:r w:rsidR="00000000" w:rsidRPr="00000000" w:rsidDel="00000000">
              <w:rPr>
                <w:vertAlign w:val="superscript"/>
                <w:rtl w:val="0"/>
              </w:rPr>
              <w:t xml:space="preserve">1 </w:t>
            </w:r>
            <w:r w:rsidR="00000000" w:rsidRPr="00000000" w:rsidDel="00000000">
              <w:rPr>
                <w:rtl w:val="0"/>
              </w:rPr>
              <w:t xml:space="preserve">vadošais partneris ir primārais ražotājs lauksaimniecības vai mežsaimniecības nozarē vai lauksaimniecības produktu pārstrādātājs;".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atspoguļots izziņas 4.punktā. Skaidrojam, ka piedāvātais papildinājums anotācijā ar atsauci uz Nostādņu par valsts atbalstu pētniecībai, izstrādei un inovācijai (2014/C198/01) 28. punktu skaidro situāciju, kad atbalsta saņēmējs atbilst pētniecības organizācijas definīcijai un ir  nepieciešams nodrošināt, ka sadarbības projektu ietvaros (pētniecības organizācija un uzņēmums) atbalsts ar pētniecības organizācijas starpniecību netiek netieši nodots iesaistītajam saimnieciskās darbības veicējam (uzņēmumam). Normatīvā akta projektā piedāvātais paredz, ka atbalsta saņēmējs - vadošais partneris būs saimnieciskās darbības veicējs. Attiecīgi Nostādņu par valsts atbalstu pētniecībai, izstrādei un inovācijai (2014/C198/01) 28. punkta nosacījumi tam nav piemērojami.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iepriekš izteiktā Finanšu ministrijas iebilduma sakarā vēlamies vērst uzmanību, ka MK noteikumos joprojām nav nodrošināta nepārprotama atbilstība Nostādņu par valsts atbalstu pētniecībai, izstrādei un inovācijai (2014/C198/01) 19. punktam (skaidrs pētniecības organizācijas un tās darbību definējums).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šā brīža piedāvātā MK noteikumu redakcija neizslēdz, ka saimnieciskās darbības veicējs (uzņēmums) gūs ekonomisko priekšrocību, lūdzam ietvert komercdarbības atbalsta kontroles regulējuma normas, piemēram, Regulas (ES) Nr. 651/2014 (2014. gada 17. jūnijs), ar ko noteiktas atbalsta kategorijas atzīst par saderīgām ar iekšējo tirgu, piemērojot Līguma 107. un 108. pantu, 25.panta nosacījumus, kas fundamentālo pētījumu gadījumā pieļauj atbalsta intensitāti līdz 100%, ja šajā atbalsta programmā plānotie pētījumi atbilst fundamentālās pētniecības definīcijai (skat. minētās regulas 2.panta 84.punktu).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65. un 66.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Atbalsta intensitāte ir 90 procentu no attiecināmajām izmaksām 16.1. apakšpasākumā un 70 procentu no attiecināmajām izmaksām 16.2. apakšpasākumā.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Produktīvajām investīcijām atbalsta intensitāte ir ne vairāk kā 30 procentu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veiktie grozījumi noteikumu 65. un 66. punktā paredz noteikt jaunu atbalsta intensitātes regulējumu. Attiecīgi tiek noteikti ierobežojošāki nosacījumu attiecībā uz pieejamajām atbalsta intensitātēm. Vēršam uzmanību, ka no noteikumu projekta anotācijā sniegtā skaidrojuma nerodas pārliecība, ka iepriekš minētais grozījums sader ar tiesiskās paļāvības principu un kā tas ietekmēs jau izsniegtos atbalstus. 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6. punkta redakcijas izriet regulējuma piemērošana ar atpakaļejošu spēku. Latvijas tiesību sistēmā nav piemērojamas tiesību normas ar atpakaļejošu spēku. Proti, Oficiālo publikāciju un tiesiskās informācijas likuma 9. pants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projekta anotācijā izvērsti skaidrot, kā iepriekš minētais noteikumu projektā paredzētais grozījums noteikt jaunu atbalsta intensitāte 90 procentu no attiecināmajām izmaksām 16.1. apakšpasākumā un 70 procentu no attiecināmajām izmaksām 16.2. apakšpasākumā, bet produktīvajām investīcijām atbalsta intensitāte noteikt ne vairāk kā 30 procentu no attiecināmajām izmaksām ietekmēs personas, kuras jau ir saņēmušas atbalstu ar spēkā esošo atbalsta intensitātes regulējumu (vai minētajām personām pasliktināsies tiesiski iegūtais stāvoklis), tai skaitā, vai aizdevumu saņēmušās personas ir informētas par iespējamo grozījumu un tās brīvprātīgi piekritušas šādam grozījumam. Ja minētais grozījums negatīvi un bez būtiska pamatojuma ietekmēs personu jau iegūtās tiesības, Tieslietu ministrija nevar atbalstīt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noteikumu projekta anotācijas I sadaļas 2. punktu atbilstoši Ministru kabineta 2009. gada 15. decembra instrukcijas Nr. 19 ''Tiesību akta projekta sākotnējās ietekmes izvērtēšanas kārtība'' (turpmāk – Instrukcija) 14. punktam, sniedzot izvērstu pamatojumu noteikumu projekta 6. punktā izteiktā noteikumu 65. un 66. 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pieņemšanas, nosacījums par jaunu intensitātes regulējumu attieksies uz jaunu atbalsta pieteikšanās kārtu, t.i., jauniem atbalsta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nepiemēros ar atpakaļejošu spēku un tā neietekmēs jau esošos atbalsta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65.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Atbalsta intensitāte ir 90 procentu no attiecināmajām izmaksām 16.1. apakšpasākumā un 70 procentu no attiecināmajām izmaksām 16.2. apakšpasākumā.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77.10.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"77.10. izmaksas, kas saistītas ar tādu iekārtu, iekārtu daļu vai programmatūru aizstāšanu ar jaunām iekārtām, iekārtu daļām vai programmatūrām, kuru parametri salīdzinājumā ar esošajām neatšķiras un kuras nenodrošina izmaiņas produktā vai tehnoloģiskajā procesā ar racionalizāciju, modernizāciju vai diversifikāciju;".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9. punktā izteikts noteikumu 77.10. apakšpunkts jaunā redakcijā. Lūdzam papildināt noteikumu projekta anotāciju ar problēmas un risinājuma aprakstu, jo šobrīd nav saprotama grozījumu jēga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222 77.10. apakšpunktā noteikts, ka neattiecināmās izmaksas ir izmaksas, kas saistītas ar iekārtu aizstāšanu ar jaunām iekārtām, nepieminot iekārtu daļas. Atbalsts nav piešķirams par esošo iekārtu nomaiņu, tāpat arī par saimniecībā vai uzņēmumā esošo iekārtu remontu, nomainot iekārtas detaļu. Lai nodrošinātu nepārprotamu normas jēgu un būtību, punkts jāpapildina ar vārdiem “iekārtu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noteikts, ka neattiecināmās izmaksas ir izmaksas, kas saistītas ar tādu iekārtu, iekārtu daļu vai programmatūru aizstāšanu ar jaunām iekārtām, iekārtu daļām vai programmatūrām.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77.10.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"77.10. izmaksas, kas saistītas ar tādu iekārtu, iekārtu daļu vai programmatūru aizstāšanu ar jaunām iekārtām, iekārtu daļām vai programmatūrām, kuru parametri salīdzinājumā ar esošajām neatšķiras un kuras nenodrošina izmaiņas produktā vai tehnoloģiskajā procesā ar racionalizāciju, modernizāciju vai diversifikāciju;".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noteikumus ar 77.11.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"77.11. izmaksas, kas saistītas ar ikdienas saimnieciskās darbības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10. punktā izteiktajā noteikumu 77.11. apakšpunktā minētais jēdziens “ikdienas saimnieciskās darbības nodrošināšanu” ir ļoti subjektīvs un šī jēdziena interpretācijai ir tieša ietekme uz finansējuma saņēmēju. Lai nodrošinātu iepriekš minētā punkta nepārprotamu izpratni un vienveidīgu piemērošanu praksē, lūdzam precizēt minēto punktu, precīzāk norādot, kāds darbības ir uzskatāms par ikdienas saimnieciskās darbības nodrošināšanu, vai alternatīvi lūdzam papildināt noteikumu projekta anotāciju ar atbilstošu skaidrojumu, kā paredzēts vērtēt, kuras darbības ir uzskatāmas par saistītām ar ikdienas saimnieciskās darbības nodrošināšanu, jo minētais jēdziens ir subjektīvs un neskaidrs.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šāda regulējuma iekļaušana ir lietderīga un nav nepamatoti ierobežojoša attiecībā pret atbalsta saņēmēju, īpaši attiecībā uz jau izsniegto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projekta 10. punktā veikti grozījumi, kas papildina noteikumus ar jaunu 77.11. apakšpunktu, kas paredz noteikt jaunu papildu nosacījumu atbalsta pretendentam atbalsta saņemšanai, t.i. paredzot, ka pasākumā nav attiecināmas izmaksas, kas saistītas ar ikdienas saimnieciskās darbības nodrošināšanu. Attiecīgi tiek sašaurināts attiecināmo izmaksu loks. Vēršam uzmanību, ka no noteikumu projekta anotācijā sniegtā skaidrojuma nerodas pārliecība, ka iepriekš minētais grozījums sader ar tiesiskās paļāvības principu un kā tas ietekmēs jau izsniegtos atbalstu par izmaksām, kas ir saistītas ar ikdienas saimnieciskās darbības nodrošināšanu. Tiesiskās paļāvības princips noteic, ka privātpersona var paļauties, ka iestādes rīcība ir tiesiska un konsekventa, tai skaitā persona var paļauties, ka tā noteiktajā laikā varēs īstenot tai iegūtās tiesības. Satversmes tiesa ir norādījusi (2009. gada 26. novembra spriedums lietā Nr. 2009-08-01[1]),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10. punkta redakcijas izriet regulējuma piemērošana ar atpakaļejošu spēku. Latvijas tiesību sistēmā nav piemērojamas tiesību normas ar atpakaļejošu spēku. Proti, Oficiālo publikāciju un tiesiskās informācijas likuma 9. pants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projekta anotācijā izvērsti skaidrot, kā iepriekš minētais noteikumu projektā paredzētais grozījums noteikt jaunu neietecināmo izmaksu kategoriju ietekmēs personas, kuras jau ir saņēmušas atbalstu ar spēkā esošo attiecināmo izmaksu regulējumu (vai minētajām personām pasliktināsies tiesiski iegūtais stāvoklis), tai skaitā, vai aizdevumu saņēmušās personas ir informētas par iespējamo grozījumu un tās brīvprātīgi piekritušas šādam grozījumam. Ja minētais grozījums negatīvi un bez būtiska pamatojuma ietekmēs personu jau iegūtās tiesības, Tieslietu ministrija nevar atbalstīt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noteikumu projekta anotācijas I sadaļas 2. punktu atbilstoši Ministru kabineta 2009. gada 15. decembra instrukcijas Nr. 19 ''Tiesību akta projekta sākotnējās ietekmes izvērtēšanas kārtība'' (turpmāk – Instrukcija) 14. punktam, sniedzot izvērstu pamatojumu noteikumu projekta 10. punktā izteiktā noteikumu 77.11 apakšpunkta grozījumu nepieciešamībai un lietderībai.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tiesas 2009. gada 26. novembra spriedums lietā Nr. 2009-08-01; Pieejams: http://www.satv.tiesa.gov.lv/wp-content/uploads/2016/02/2009-08-01_Spriedums.pdf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Nr.222 3.punkts nosaka, ka pasākuma mērķis ir izstrādāt jaunus produktus, procesus, tehnoloģijas un metodes ieviešot tās praksē. Tas jau pašā sākumā nosaka, ka pasākuma būtība ir jaunu produktu, procesu tehnoloģiju vai metožu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10.punkts skaidrāk nosaka normu, ka ikdienas saimnieciskā darbības nodrošināšana ir uzskatāma par neattiecināmajām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projektu īstenošanas pieredze liecina, ka projekta dalībnieki ar esošo projekta finansējumu cenšas nodrošināt esošās saimniecības uzturēšanu, nevis finansējumu vērst uz projekta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ikdienas saimniecisko darbību var uzskatīt jebkuru darbību, kas vērsta uz preču ražošanu, darbu izpildi, tirdzniecību un pakalpojumu sniegšanu par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Uzsvars ir uz peļņas gūšanu, jo par projektā veicamajām darbībām nebūtu jāgūst peļņa, tām būtu jābūt vērstām uz projekta mērķi -  jaunu metožu, tehnoloģiju ieviešanu, izmēģināšanu, kas nav saimniecības ikdiena.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punktā noteikts, ka pasākumā izmaksas, kas saistītas ar ikdienas saimnieciskās darbības nodrošināšanu, ir neattiecināmas.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noteikumus ar 77.11.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"77.11. izmaksas, kas saistītas ar ikdienas saimnieciskās darbības nodrošināšanu.".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22-TA-1213</w:t>
    </w:r>
    <w:r>
      <w:br/>
    </w:r>
    <w:r w:rsidR="00000000" w:rsidRPr="00000000" w:rsidDel="00000000">
      <w:rPr>
        <w:rtl w:val="0"/>
      </w:rPr>
      <w:t xml:space="preserve">15.07.2022. 13.22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22-TA-1213</w:t>
    </w:r>
    <w:r>
      <w:br/>
    </w:r>
    <w:r w:rsidR="00000000" w:rsidRPr="00000000" w:rsidDel="00000000">
      <w:rPr>
        <w:rtl w:val="0"/>
      </w:rPr>
      <w:t xml:space="preserve">15.07.2022. 13.22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Izziņa_22-TA-1213.docx</dc:title>
</cp:coreProperties>
</file>

<file path=docProps/custom.xml><?xml version="1.0" encoding="utf-8"?>
<Properties xmlns="http://schemas.openxmlformats.org/officeDocument/2006/custom-properties" xmlns:vt="http://schemas.openxmlformats.org/officeDocument/2006/docPropsVTypes"/>
</file>