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25-TA-747: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“Robežšķērsošanas risinājumu pirmās kārtas īstenošana” (turpmāk - projekts) pasi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projekta izmaksas 2 820 000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2 397 000</w:t>
            </w:r>
            <w:r w:rsidR="00000000" w:rsidRPr="00000000" w:rsidDel="00000000">
              <w:rPr>
                <w:i w:val="1"/>
                <w:rtl w:val="0"/>
              </w:rPr>
              <w:t xml:space="preserve"> euro</w:t>
            </w:r>
            <w:r w:rsidR="00000000" w:rsidRPr="00000000" w:rsidDel="00000000">
              <w:rPr>
                <w:rtl w:val="0"/>
              </w:rPr>
              <w:t xml:space="preserve"> apmērā, kā arī iekļaut projektu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 punktā noteikt ne tikai Eiropas Reģionālās attīstības fonda finansējuma apmēru, bet papildināt arī ar valsts budžeta līdzfinansējuma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(turpmāk – projekts) pasi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projekta izmaksas 2 820 000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2 397 000</w:t>
            </w:r>
            <w:r w:rsidR="00000000" w:rsidRPr="00000000" w:rsidDel="00000000">
              <w:rPr>
                <w:i w:val="1"/>
                <w:rtl w:val="0"/>
              </w:rPr>
              <w:t xml:space="preserve"> euro</w:t>
            </w:r>
            <w:r w:rsidR="00000000" w:rsidRPr="00000000" w:rsidDel="00000000">
              <w:rPr>
                <w:rtl w:val="0"/>
              </w:rPr>
              <w:t xml:space="preserve"> apmērā un valsts līdzfinansējumu 423 000 </w:t>
            </w:r>
            <w:r w:rsidR="00000000" w:rsidRPr="00000000" w:rsidDel="00000000">
              <w:rPr>
                <w:i w:val="1"/>
                <w:rtl w:val="0"/>
              </w:rPr>
              <w:t xml:space="preserve">euro</w:t>
            </w:r>
            <w:r w:rsidR="00000000" w:rsidRPr="00000000" w:rsidDel="00000000">
              <w:rPr>
                <w:rtl w:val="0"/>
              </w:rPr>
              <w:t xml:space="preserve"> apmērā un iekļaut 1.3.1.1. pasākuma “IKT risinājumu un pakalpojumu attīstība un iespēju radīšana privātajam sektoram” atbalstāmo projektu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6. punktā "Izmaksu un ieguvumu analīze" sniegto aprakstu, jo esošā informācija nesniedz priekšstatu par to, ka valsts (sabiedrības) ieguvumi būs lielāki par projekta investīciju un uzturēšanas izmaksām projekta dzīves cikla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izmaksu un ieguvumu analīzi, izmantojot Centrālās finanšu un līgumu aģentūras (CFLA) izmaksu un ieguvumu aprēķina modeli, pievienojot to projekta pasei kā pielikumu. Tas ļaus precīzi noteikt projekta ekonomisko tagadnes vērtību (ENPV) jeb sabiedrības neto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var izmantot projekta "</w:t>
            </w:r>
            <w:r w:rsidR="00000000" w:rsidRPr="00000000" w:rsidDel="00000000">
              <w:rPr>
                <w:i w:val="1"/>
                <w:rtl w:val="0"/>
              </w:rPr>
              <w:t xml:space="preserve">Jaunas Personu apliecinošu dokumentu informācijas sistēmas izstrāde, daļējas pašapkalpošanās risinājuma ieviešana un personu apliecinošu dokumentu izsniegšanas tehniskās infrastruktūras attīstība</w:t>
            </w:r>
            <w:r w:rsidR="00000000" w:rsidRPr="00000000" w:rsidDel="00000000">
              <w:rPr>
                <w:rtl w:val="0"/>
              </w:rPr>
              <w:t xml:space="preserve">" pases pielikumā pievienoto izmaksu un ieguvumu analīzi: https://vktap.mk.gov.lv/legal_acts/headers/449026db-dc13-4b84-bfb0-36965fbe8897/additional_documents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1.3. sadaļas apakšsadaļā "</w:t>
            </w:r>
            <w:r w:rsidR="00000000" w:rsidRPr="00000000" w:rsidDel="00000000">
              <w:rPr>
                <w:i w:val="1"/>
                <w:rtl w:val="0"/>
              </w:rPr>
              <w:t xml:space="preserve">Vai ir izvērtēts prasību un izmaksu samērīgums pret ieguvumiem?</w:t>
            </w:r>
            <w:r w:rsidR="00000000" w:rsidRPr="00000000" w:rsidDel="00000000">
              <w:rPr>
                <w:rtl w:val="0"/>
              </w:rPr>
              <w:t xml:space="preserve">" iekļaut īsu, konkrētu un skaitlisku informāciju par projekta ekonomisko atdevi (izmaksu un ieguvumu attiecību), kas izriet no precizētā projekta pases 6. punkta aprēķina.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sociālekonomiskie ieguvumi, ko šajā projektā varētu aprēķināt izmaksu un ieguvumu analīzes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kravu pārvadātāju dīkstāves samazināšana, ļaujot ietaupīt gan laiku, gan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drošības uzlabošana pie robežšķērsošanas vietām, samazinot ceļu satiksmes negadījumu un konfliktu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iestāžu (Valsts robežsardze, Valsts ieņēmumu dienests, VSIA “Autotransporta direkcija”) darba efektivitātes palielināšana, pateicoties procesu digitalizācijai un automatizācijai;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provokāciju un hibrīduzbrukumu riska mazināšana, samazinot trešo valstu pilsoņu koncentrāciju rindās uz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iedzīvotāju dzīves kvalitātes uzlabošana, samazinot troksni, sastrēgumus un gaisa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aicinām izmantot CFLA ekspertu konsultācijas, lai panāktu kvalitatīvu projekta izvērtējumu un lēmumu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analīze sagatavota, izmantojot CFLA izmaksu un ieguvumu aprēķina modeli, un pievienota sadaļā Papildu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pārliecību, ka projekta ietvaros netiek sniegts komercdarbības atbalsts finansējuma saņēmējam un sadarbības partneriem kā saimnieciskās darbības veicējam, lūdzam papildināt anotāciju ar informāciju, vai finansējuma saņēmējam un sadarbības partneriem sniegtais atbalsts nav kvalificējams kā atbalsts saimnieciskai darbībai un kā komercdarbības atbalsts. Skaidrojam, ka, ja atbalsts plānots, piemēram, valsts deleģētas funkcijas veikšanai, tas atbilstoši Komisijas paziņojuma par Līguma par Eiropas Savienības darbību 107. panta 1. punktā minēto valsts atbalsta jēdzienu (C/2016/2946)17.punktā noteiktajam nav saimnieciskā darbība. Lūdzam attiecīgi anotācijā un projekta pasē iekļaut informāciju, kurā normatīvā aktā finansējuma saņēmējam un sadarbības partneriem noteikti pienākumi veikt valsts deleģētas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anotāciju papildināt ar informāciju, vai pasākumā tiks atbalstīti tikai tādi projekta ietvaros radītie vai uzlabotie informācijas un komunikācijas tehnoloģijas risinājumi, kas nepieciešami konkrētu valsts deleģētu funkciju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 un projekta pases 3.2.apakšpunkts un 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6.2. apakšpunktā skaidrot, kā noteikts uzturēšanas izmaksu apmērs 2028. gadam un kāpēc tas ir 75% apmērā no pilna gada summas, ja projektu īsteno līdz 2028.gada III ceturksnim.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 apakšpunktā sniegts plašāks skaidrojums par izmaksām, tostarp skaidrojums, kā noteikts uzturēšanas izmaksu apmērs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aizpildīt anotācijas 3. sadaļas 1. – 5. punktu atbilstoši rīkojuma projekta 1. punktā un anotācijas 3. sadaļas 6. punktā norādītajam, tas ir 1.1.  apakšpunktā finansējuma apmēriem, saskaitot pa gadiem kopā, jāsakrīt ar Eiropas Reģionālās attīstības fonda finansējuma apmēru un 2.1. apakšpunktā – ar kopējo finansējumu, attiecīgi 3.1. apakšpunktā finansiālā ietekme un 5. punktā precizētā finansiālā ietekme automātiski uzrādīsies ar mīnusa zīmi plānotā valsts budžeta līdzfinansējuma apmērā. Vienlaikus 5.1. apakšpunkts jāaizpilda manuāli atbilstoši 5.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Likumu par budžetu un finanšu vadību (turpmāk – LBFV) finanšu ministram ir tiesības projektu uzturēšanas apropriācijas rezervi pārdalīt ministrijām, ja projekts vai tā posms ir pilnībā pabeigts. Ņemot vērā anotācijā norādīto, ka projekta beigas plānotas 2028.gada III ceturksnī, lūdzam anotācijas 3.sadaļā precizēt ailē “izmaiņas, salīdzinot ar vidēja termiņa budžeta ietvaru” 2028.gadam norādīto uzturēšanas izmaksu apmēru, jo tas nevar būt pilna gada izmaksu apmērā, kā arī lūdzam precizēt anotācijas 3.sadaļas 6.2.apakšpunktā norādīto, ka uzturēšanas izmaksas tiek plānotas jau no 2027.gada. Līdz ar to lūdzam pārskatīt un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anotācijas 3. sadaļas 6.2. apakšpunktā pie teksta “Norādītās izmaksas ir indikatīvas” papildināt ar informāciju, kā tās noteiktas, pievienojot aprēķinus vai skaidrojot pieņēmumus to noteikšanai, vienlaikus norādot, ka detalizēti aprēķini tiks sniegti, kad to segšanai tiks pieprasīts finansējums saskaņā ar LBFV 9.</w:t>
            </w:r>
            <w:r w:rsidR="00000000" w:rsidRPr="00000000" w:rsidDel="00000000">
              <w:rPr>
                <w:vertAlign w:val="superscript"/>
                <w:rtl w:val="0"/>
              </w:rPr>
              <w:t xml:space="preserve">1</w:t>
            </w:r>
            <w:r w:rsidR="00000000" w:rsidRPr="00000000" w:rsidDel="00000000">
              <w:rPr>
                <w:rtl w:val="0"/>
              </w:rPr>
              <w:t xml:space="preserve"> panta otrajā daļā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precizēta ietekme uz 2028.gada budžetu. Ņemot vērā, ka projekta 1.prioritātes objektiem izbūve plānota 2027.gadā, no 2028.gada proporcionāli precizētas uzturēšanas izmaksas. Precizētas 3.sadaļas 6.2.apakšpunktā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precizēt projekta pases 5.1.1. norādīto atbilstību “Neatbilst” - ņemot vēra, ka Eiropas Savienības kohēzijas politikas programmas 2021.–2027. gadam 1.3.1. specifiskā atbalsta mērķa "Izmantot digitalizācijas priekšrocības iedzīvotājiem, uzņēmumiem, pētniecības organizācijām un publiskajām iestādēm" 1.3.1.1.pasākuma "IKT risinājumu un pakalpojumu attīstība un iespēju radīšana privātajam sektoram" (turpmāk - ERAF 1.3.1.1. pasākums) iznākuma rādītāja  “saimnieciskās darbības veicējiem izstrādāto digitālo pakalpojumu, produktu un procesu vērtība” vērtībā tiek ieskaitīts viss to ERAF 1.3.1.1. pasākuma ietvaros īstenoto projektu finansējuma apjoms, kuru ietvaros plānots izstrādāt uz saimnieciskās darbības veicējiem vērstus pakalpojumus, produktus vai procesus, jāizvērtē nepieciešamība precizēt sadaļā norādīto informāciju, ievērojot 5.2.apakšpunktā norādīto par ietekmi uz juridiskajām personām. Papildus, jāizvērtē vai ir plānota ietekme uz ERAF 1.3.1.1.pasākuma rezultāta rādītāju "jaunu un modernizētu publisko digitālo pakalpojumu, produktu un procesu lietotāji" (plānoto integrējamo saimnieciskās darbības veicēju skaits, kuri ir transformējuši savus procesus, balstoties uz jaunizveidotajiem vai ievērojami uzlabotajiem valsts digitālajiem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5.1.1.apakšpunkts.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3.3. sadaļā pārskatīt un pārformulēt norādītos projekta ieguvumus, jo pilnveidotie procesi tiek attēloti sadaļā “Rezultāti”. Projekta ieguvumiem jābūt balstītiem uz izmērāmiem, konkrētiem ieguvumiem sabiedrībai, iestādēm vai valsts pārvaldei.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3.3.sadaļā norādītie projekta ieguvumi.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papildus dokumentu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 paredzot ka teksts tajā ir redzams, jo šobrīd esošajā redakcijā vairākās vietās teksts ir aizsegts ar citu tekstu (piem.13. lp), vai tas vienkārši nav pilnībā redzams (piem. 41., 43. , 85. lp). Papildus, lūdzam izņemt tukšo lapu (25., 42., 44. 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analīzes forma ir sagatavota atbilstoši Centrālās finanšu un līgumu aģentūras publicētajam paraugam un metodiskajiem norādījumiem projektu izmaksu un ieguvumu analīzes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ir atkārtoti izvērtējis pievienoto papildu dokumentu un konstatējis, ka tas ir korekti noformēts un atbilst prasībām. Iespējamās nepilnības dokumenta attēlojumā varētu būt saistītas ar izmantotās programmatūras versiju vai kādu citu tehnoloģisku ierobežojumu lietotāja iekārtā.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pievienoto dokumentu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 ar attiecīgo nosaukumu pašā dokumenta sākumā, minētais nepieciešams, jo tas nodrošina dokumenta nepārprotamu identificējamību, atvieglo tā lietošanu un atsauces turpmākajā darbā 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analīzes forma ir sagatavota atbilstoši Centrālās finanšu un līgumu aģentūras publicētajam paraugam un metodiskajiem norādījumiem projektu izmaksu un ieguvumu analīzes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nosaukums tiek norādīts cilnē “Dati par projektu” 1.3.punktā “Projekta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(turpmāk – projekts)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un projekta izmaksas 2 820 000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2 397 000</w:t>
            </w:r>
            <w:r w:rsidR="00000000" w:rsidRPr="00000000" w:rsidDel="00000000">
              <w:rPr>
                <w:i w:val="1"/>
                <w:rtl w:val="0"/>
              </w:rPr>
              <w:t xml:space="preserve"> euro</w:t>
            </w:r>
            <w:r w:rsidR="00000000" w:rsidRPr="00000000" w:rsidDel="00000000">
              <w:rPr>
                <w:rtl w:val="0"/>
              </w:rPr>
              <w:t xml:space="preserve"> apmērā un valsts līdzfinansējumu 423 000 </w:t>
            </w:r>
            <w:r w:rsidR="00000000" w:rsidRPr="00000000" w:rsidDel="00000000">
              <w:rPr>
                <w:i w:val="1"/>
                <w:rtl w:val="0"/>
              </w:rPr>
              <w:t xml:space="preserve">euro</w:t>
            </w:r>
            <w:r w:rsidR="00000000" w:rsidRPr="00000000" w:rsidDel="00000000">
              <w:rPr>
                <w:rtl w:val="0"/>
              </w:rPr>
              <w:t xml:space="preserve"> apmērā un iekļaut 1.3.1.1. pasākuma “IKT risinājumu un pakalpojumu attīstība un iespēju radīšana privātajam sektoram”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rīkojuma projekta 1. punktu piedāvātajā, rīkojuma projekta iepriekšējā (3.0), redakcijā, ņemot vērā, ka Ministru kabinets apstiprina projekta pasi, kas ietverta Ministru kabineta rīkojuma pielikumā, nevis projekta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(turpmāk – projekts) </w:t>
            </w:r>
            <w:r w:rsidR="00000000" w:rsidRPr="00000000" w:rsidDel="00000000">
              <w:rPr>
                <w:u w:val="single"/>
                <w:rtl w:val="0"/>
              </w:rPr>
              <w:t xml:space="preserve">​pasi (pielikums)</w:t>
            </w:r>
            <w:r w:rsidR="00000000" w:rsidRPr="00000000" w:rsidDel="00000000">
              <w:rPr>
                <w:rtl w:val="0"/>
              </w:rPr>
              <w:t xml:space="preserve"> un projekta izmaksas 2 820 000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2 397 000 </w:t>
            </w:r>
            <w:r w:rsidR="00000000" w:rsidRPr="00000000" w:rsidDel="00000000">
              <w:rPr>
                <w:i w:val="1"/>
                <w:rtl w:val="0"/>
              </w:rPr>
              <w:t xml:space="preserve">euro</w:t>
            </w:r>
            <w:r w:rsidR="00000000" w:rsidRPr="00000000" w:rsidDel="00000000">
              <w:rPr>
                <w:rtl w:val="0"/>
              </w:rPr>
              <w:t xml:space="preserve"> apmērā un valsts līdzfinansējumu 423 000 </w:t>
            </w:r>
            <w:r w:rsidR="00000000" w:rsidRPr="00000000" w:rsidDel="00000000">
              <w:rPr>
                <w:i w:val="1"/>
                <w:rtl w:val="0"/>
              </w:rPr>
              <w:t xml:space="preserve">euro</w:t>
            </w:r>
            <w:r w:rsidR="00000000" w:rsidRPr="00000000" w:rsidDel="00000000">
              <w:rPr>
                <w:rtl w:val="0"/>
              </w:rPr>
              <w:t xml:space="preserve"> apmērā un iekļaut 1.3.1.1. pasākuma “IKT risinājumu un pakalpojumu attīstība un iespēju radīšana privātajam sektoram”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precizēts un izteikts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(turpmāk – projekts) pasi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projekta izmaksas 2 820 000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2 397 000</w:t>
            </w:r>
            <w:r w:rsidR="00000000" w:rsidRPr="00000000" w:rsidDel="00000000">
              <w:rPr>
                <w:i w:val="1"/>
                <w:rtl w:val="0"/>
              </w:rPr>
              <w:t xml:space="preserve"> euro</w:t>
            </w:r>
            <w:r w:rsidR="00000000" w:rsidRPr="00000000" w:rsidDel="00000000">
              <w:rPr>
                <w:rtl w:val="0"/>
              </w:rPr>
              <w:t xml:space="preserve"> apmērā un valsts līdzfinansējumu 423 000 </w:t>
            </w:r>
            <w:r w:rsidR="00000000" w:rsidRPr="00000000" w:rsidDel="00000000">
              <w:rPr>
                <w:i w:val="1"/>
                <w:rtl w:val="0"/>
              </w:rPr>
              <w:t xml:space="preserve">euro</w:t>
            </w:r>
            <w:r w:rsidR="00000000" w:rsidRPr="00000000" w:rsidDel="00000000">
              <w:rPr>
                <w:rtl w:val="0"/>
              </w:rPr>
              <w:t xml:space="preserve"> apmērā un iekļaut 1.3.1.1. pasākuma “IKT risinājumu un pakalpojumu attīstība un iespēju radīšana privātajam sektoram” atbalstāmo projektu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(turpmāk – projekts) pasi (</w:t>
            </w:r>
            <w:r w:rsidR="00000000" w:rsidRPr="00000000" w:rsidDel="00000000">
              <w:rPr>
                <w:rtl w:val="0"/>
              </w:rPr>
              <w:t xml:space="preserve">["Kļūda! Atsauces avots nav atrasts."] </w:t>
            </w:r>
            <w:r w:rsidR="00000000" w:rsidRPr="00000000" w:rsidDel="00000000">
              <w:rPr>
                <w:rtl w:val="0"/>
              </w:rPr>
              <w:t xml:space="preserve">pielikums</w:t>
            </w:r>
            <w:r w:rsidR="00000000" w:rsidRPr="00000000" w:rsidDel="00000000">
              <w:rPr>
                <w:rtl w:val="0"/>
              </w:rPr>
              <w:t xml:space="preserve">) un projekta izmaksas 2 820 000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2 397 000</w:t>
            </w:r>
            <w:r w:rsidR="00000000" w:rsidRPr="00000000" w:rsidDel="00000000">
              <w:rPr>
                <w:i w:val="1"/>
                <w:rtl w:val="0"/>
              </w:rPr>
              <w:t xml:space="preserve"> euro</w:t>
            </w:r>
            <w:r w:rsidR="00000000" w:rsidRPr="00000000" w:rsidDel="00000000">
              <w:rPr>
                <w:rtl w:val="0"/>
              </w:rPr>
              <w:t xml:space="preserve"> apmērā un valsts līdzfinansējumu 423 000 </w:t>
            </w:r>
            <w:r w:rsidR="00000000" w:rsidRPr="00000000" w:rsidDel="00000000">
              <w:rPr>
                <w:i w:val="1"/>
                <w:rtl w:val="0"/>
              </w:rPr>
              <w:t xml:space="preserve">euro</w:t>
            </w:r>
            <w:r w:rsidR="00000000" w:rsidRPr="00000000" w:rsidDel="00000000">
              <w:rPr>
                <w:rtl w:val="0"/>
              </w:rPr>
              <w:t xml:space="preserve"> apmērā un iekļaut 1.3.1.1. pasākuma “IKT risinājumu un pakalpojumu attīstība un iespēju radīšana privātajam sektoram”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Rīkojuma projekta 1. punktu, jo šobrīd esošajā redakcijā punktā uzrādās "["Kļūda! Atsauces avots nav atrasts."]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(turpmāk – projekts) pasi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projekta izmaksas 2 820 000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2 397 000</w:t>
            </w:r>
            <w:r w:rsidR="00000000" w:rsidRPr="00000000" w:rsidDel="00000000">
              <w:rPr>
                <w:i w:val="1"/>
                <w:rtl w:val="0"/>
              </w:rPr>
              <w:t xml:space="preserve"> euro</w:t>
            </w:r>
            <w:r w:rsidR="00000000" w:rsidRPr="00000000" w:rsidDel="00000000">
              <w:rPr>
                <w:rtl w:val="0"/>
              </w:rPr>
              <w:t xml:space="preserve"> apmērā un valsts līdzfinansējumu 423 000 </w:t>
            </w:r>
            <w:r w:rsidR="00000000" w:rsidRPr="00000000" w:rsidDel="00000000">
              <w:rPr>
                <w:i w:val="1"/>
                <w:rtl w:val="0"/>
              </w:rPr>
              <w:t xml:space="preserve">euro</w:t>
            </w:r>
            <w:r w:rsidR="00000000" w:rsidRPr="00000000" w:rsidDel="00000000">
              <w:rPr>
                <w:rtl w:val="0"/>
              </w:rPr>
              <w:t xml:space="preserve"> apmērā un iekļaut 1.3.1.1. pasākuma “IKT risinājumu un pakalpojumu attīstība un iespēju radīšana privātajam sektoram” atbalstāmo projektu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finansēt 1.3.1.1. pasākuma “IKT risinājumu un pakalpojumu attīstība un iespēju radīšana privātajam sektoram” ietvaros, ja projekta iesniegums atbilst projektu </w:t>
            </w:r>
            <w:r w:rsidR="00000000" w:rsidRPr="00000000" w:rsidDel="00000000">
              <w:rPr>
                <w:rtl w:val="0"/>
              </w:rPr>
              <w:t xml:space="preserve">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pasākumam "IKT risinājumu un pakalpojumu attīstība un iespēju radīšana privātajam sektoram" īstenošanas noteikumi"</w:t>
            </w:r>
            <w:r w:rsidR="00000000" w:rsidRPr="00000000" w:rsidDel="00000000">
              <w:rPr>
                <w:rtl w:val="0"/>
              </w:rPr>
              <w:t xml:space="preserve"> </w:t>
            </w:r>
            <w:r w:rsidR="00000000" w:rsidRPr="00000000" w:rsidDel="00000000">
              <w:rPr>
                <w:rtl w:val="0"/>
              </w:rPr>
              <w:t xml:space="preserve">iekļautajiem nosacījumiem un projekta iesnieguma atlases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anotācijā esošo informāciju: “</w:t>
            </w:r>
            <w:r w:rsidR="00000000" w:rsidRPr="00000000" w:rsidDel="00000000">
              <w:rPr>
                <w:i w:val="1"/>
                <w:rtl w:val="0"/>
              </w:rPr>
              <w:t xml:space="preserve">Funkcijas LVRTC un ATD tiks deleģētas, nosakot pienākumus "Latvijas Republikas valsts robežas likumā” (tiesību akta ID: 24-TA-2478). 8). Abu iesaistīto pušu atbildības sadalījuma likumiskais pamats, tostarp ATD un LVRTC atbildība un konkrētās funkcijas, iesaistoties sistēmas izveides, attīstības un uzturēšanas procesā, tiks noteiktas, sistēmas pārzinim saskaņojot funkciju sadalījumu ar Satiksmes ministriju, kā arī noslēdzot attiecīgu deleģējuma līgumu (vienošanos) ar LVRTC.</w:t>
            </w:r>
            <w:r w:rsidR="00000000" w:rsidRPr="00000000" w:rsidDel="00000000">
              <w:rPr>
                <w:rtl w:val="0"/>
              </w:rPr>
              <w:t xml:space="preserve">”, lūdzam rīkojuma projektu papildināt ar punktu, kurā iekļauts nosacījums, ka finansējuma piešķiršana projekta īstenošanai tiek veikta tikai pēc tam, kad finansējuma saņēmējam ir deleģējums veikt valsts pārvaldes funkcijas, proti, ir stājušies spēkā grozījumi likumā “Latvijas Republikas valsts robežas likums” un noslēgts deleģējuma līgums. Atbilstoši lūdzam precizēt arī rīkojuma projekta anotāciju un projekta pasē sadaļu “7. Cita būtiska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rīkojuma projekta anotāciju ar informāciju par termiņu, līdz kuram ir plānots nodrošināt, ka grozījumi likumā “Latvijas Republikas valsts robežas likums” stājās spēkā un tiek noslēgts deleģējuma līgums.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 papildināta ar aktuālo informāciju par likumprojekta “Grozījumi Latvijas Republikas valsts robežas likumā” virzības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Latvijas Republikas valsts robežas likumā” (tiesību akta ID: 24-TA-2478) ir pieņemts 2025. gada 19. jūnijā Saeimas sēdē 2. un galīgajā lasījumā, likumprojektam piemērojot steidzamību.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40.pantā noteiktajam, valsts pārvaldes uzdevuma deleģēšanas pamats ATD un LVRTC jau ir nostiprināts 19.06.2025. Saeimā pieņemtajā likumprojektā “Grozījumi Latvijas Republikas valsts robežas likumā”, attiecīgi nav nepieciešams papildus slēgt deleģēšanas līgumu. Ar atsevišķi noslēgtu līgumu starp LVRTC, ATD un Satiksmes ministriju tiks atrunāts funkciju un atbildību sadalījums starp iesaistītajām atbildīgajām pusēm, attiecīgi papildu punkta iekļaušana rīkojuma projektā par finansējuma piesaistes nosacījumiem līgumam,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finansēt 1.3.1.1. pasākuma “IKT risinājumu un pakalpojumu attīstība un iespēju radīšana privātajam sektoram” ietvaros, ja projekta iesniegums atbilst projektu </w:t>
            </w:r>
            <w:r w:rsidR="00000000" w:rsidRPr="00000000" w:rsidDel="00000000">
              <w:rPr>
                <w:rtl w:val="0"/>
              </w:rPr>
              <w:t xml:space="preserve">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pasākumam "IKT risinājumu un pakalpojumu attīstība un iespēju radīšana privātajam sektoram" īstenošanas noteikumi"</w:t>
            </w:r>
            <w:r w:rsidR="00000000" w:rsidRPr="00000000" w:rsidDel="00000000">
              <w:rPr>
                <w:rtl w:val="0"/>
              </w:rPr>
              <w:t xml:space="preserve"> </w:t>
            </w:r>
            <w:r w:rsidR="00000000" w:rsidRPr="00000000" w:rsidDel="00000000">
              <w:rPr>
                <w:rtl w:val="0"/>
              </w:rPr>
              <w:t xml:space="preserve">iekļautajiem nosacījumiem un projekta iesnieguma atlases kritērijiem.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valsts akciju sabiedrību “Latvijas Valsts radio un televīzijas centrs” par projekta iesniedzēju un atbildīgo par projekta īstenošanu un projekta pasē plānoto mērķu un rezultātu (tai skaitā finanšu, rezultāta un iznākuma rādītāju)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rīkojuma projekta 5. punktu papildināt ar tekstu - </w:t>
            </w:r>
            <w:r w:rsidR="00000000" w:rsidRPr="00000000" w:rsidDel="00000000">
              <w:rPr>
                <w:i w:val="1"/>
                <w:rtl w:val="0"/>
              </w:rPr>
              <w:t xml:space="preserve">“ un uzturēšanu vismaz 5 gadus pēc projekta pabeigšanas”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ieskatā papildinājums nav nepieciešams, jo šāds pienākums projekta īstenotājam ir noteikts MK 2024.gada 4.jūnija noteikumu Nr.338 </w:t>
            </w:r>
            <w:r w:rsidR="00000000" w:rsidRPr="00000000" w:rsidDel="00000000">
              <w:rPr>
                <w:i w:val="1"/>
                <w:rtl w:val="0"/>
              </w:rPr>
              <w:t xml:space="preserve">"Eiropas Savienības kohēzijas politikas programmas 2021. - 2027.gadam 1.3.1.specifiskā atbalsta mērķa "Izmantot digitalizācijas priekšrocības iedzīvotājiem, uzņēmumiem, pētniecības organizācijām un publiskajām iestādēm" 1.3.1.1.pasākuma "IKT risinājumu un pakalpojumu attīstība un iespēju radīšana privātajam sektoram" īstenošanas noteikumi"</w:t>
            </w:r>
            <w:r w:rsidR="00000000" w:rsidRPr="00000000" w:rsidDel="00000000">
              <w:rPr>
                <w:rtl w:val="0"/>
              </w:rPr>
              <w:t xml:space="preserve"> 41.punktā. Arī Latvijas republikas valsts robežas likumā tiks veikti grozījumi, lai LVRTC deleģētu sistēmas uzturēšanas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valsts akciju sabiedrību “Latvijas Valsts radio un televīzijas centrs” par projekta iesniedzēju un atbildīgo par projekta īstenošanu un projekta pasē plānoto mērķu un rezultātu (tai skaitā finanšu, rezultāta un iznākuma rādītāju) sasniegšanu.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Satiksmes ministrijas skaidrojumu par projekta “Robežšķērsošanas risinājumu pirmās kārtas īstenošana” pasē noteikto, kāpēc projekta kopējais finansējums tiek ieskaitīts 1.3.1.1.pasākuma "IKT risinājumu un pakalpojumu attīstība un iespēju radīšana privātajam sektoram" iznākuma rādītāja </w:t>
            </w:r>
            <w:r w:rsidR="00000000" w:rsidRPr="00000000" w:rsidDel="00000000">
              <w:rPr>
                <w:i w:val="1"/>
                <w:rtl w:val="0"/>
              </w:rPr>
              <w:t xml:space="preserve">“Saimnieciskās darbības veicējiem izstrādāto digitālo pakalpojumu, produktu un procesu vērtība”</w:t>
            </w:r>
            <w:r w:rsidR="00000000" w:rsidRPr="00000000" w:rsidDel="00000000">
              <w:rPr>
                <w:rtl w:val="0"/>
              </w:rPr>
              <w:t xml:space="preserve"> vērtībā (4.atsauce), bet 5.2.punktā norādītie lietotāji </w:t>
            </w:r>
            <w:r w:rsidR="00000000" w:rsidRPr="00000000" w:rsidDel="00000000">
              <w:rPr>
                <w:b w:val="1"/>
                <w:rtl w:val="0"/>
              </w:rPr>
              <w:t xml:space="preserve">netiek ieskaitīti</w:t>
            </w:r>
            <w:r w:rsidR="00000000" w:rsidRPr="00000000" w:rsidDel="00000000">
              <w:rPr>
                <w:rtl w:val="0"/>
              </w:rPr>
              <w:t xml:space="preserve"> 1.3.1.1.pasākuma rezultāta rādītājā </w:t>
            </w:r>
            <w:r w:rsidR="00000000" w:rsidRPr="00000000" w:rsidDel="00000000">
              <w:rPr>
                <w:i w:val="1"/>
                <w:rtl w:val="0"/>
              </w:rPr>
              <w:t xml:space="preserve">“Jaunu un modernizētu publisko digitālo pakalpojumu, produktu un procesu lietotāji” </w:t>
            </w:r>
            <w:r w:rsidR="00000000" w:rsidRPr="00000000" w:rsidDel="00000000">
              <w:rPr>
                <w:rtl w:val="0"/>
              </w:rPr>
              <w:t xml:space="preserve">(5.atsauce).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atsauce tika iekļauta, atbilstoši VARAM norādījumiem (VARAM 18.06.2025. priekšlikums https://tapportals.mk.gov.lv/reviews/resolutions/5ec1f545-411c-49af-be96-896e9a66903d):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5.1.punktā lūdzam pievienot atsauci (*), ka projekta kopējais finansējums tiek ieskaitīts ERAF 1.3.1.1.pasākuma iznākuma rādītāja “saimnieciskās darbības veicējiem izstrādāto digitālo pakalpojumu, produktu un procesu vērtība” vērtībā. Atsauce nepieciešama, ņemot vērā Ministru kabineta 04.06.2024. noteikumu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anotācijā norādīto, ka minētā rādītāja vērtībā tiks ieskaitīts viss to 1.3.1.1. pasākuma ietvaros īstenoto projektu finansējuma apjoms, kuru ietvaros plānots izstrādāt uz saimnieciskās darbības veicējiem vērstus pakalpojumus, produktus vai procesus.  Vienlaikus, tā kā 5.1.2. un 5.2.punktā norādītie lietotāji nebūs tādi lietotāji, kas integrēs savus digitālos risinājumus ar projekta ietvaros digitālo risinājumu, 5.2.punktā lūdzam pievienot atsauci, ka 5.1.2. un 5.2.punktā norādītie lietotāji netiek ieskaitīti 1.3.1.1.pasākuma rezultāta rādītājā “Jaunu un modernizētu publisko digitālo pakalpojumu, produktu un procesu lietotāji”.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5.1.1. punktā aicinām pārskatīt norādītos datus un atsauces, lai tie atbilstu aktuālajai situācijai (t.i. nav lietderīgi uzskaitīt 2022.g.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5.1.1. punktā norādīti LVRTC uz šo brīdi pieejamie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dati par kravas transportlīdzekļiem, kas ir šķērsojuši ārējo sauszemes robežu Grebņevas, Terehovas, Pāternieku RŠV tiek uzrādīti kā papildus informācija, kas ilustrē tendenci kravas transportlīdzekļu skaita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atsauce par to, ka kopš 2023.gada nenotiek starptautisko kravu atļauju apmaiņa ar Baltkrieviju un 2022.gada dati norādīti ar mērķi sniegt informāciju, ka arī šie transportlīdzekļi veiks reģistrāciju elektroniskās rindas rezervācijas sistēmā, lai gan konkrēta statistika par pārvadātājiem nav pieejama, jo Latvijas pārvadātāji atļaujas iegādājas Baltkrievijā.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5.1.punktā lūdzam pievienot atsauci (*), ka projekta kopējais finansējums tiek ieskaitīts ERAF 1.3.1.1.pasākuma iznākuma rādītāja “saimnieciskās darbības veicējiem izstrādāto digitālo pakalpojumu, produktu un procesu vērtība” vērtībā. Atsauce nepieciešama, ņemot vērā Ministru kabineta 04.06.2024. noteikumu Nr.338</w:t>
            </w:r>
            <w:r w:rsidR="00000000" w:rsidRPr="00000000" w:rsidDel="00000000">
              <w:rPr>
                <w:i w:val="1"/>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w:t>
            </w:r>
            <w:r w:rsidR="00000000" w:rsidRPr="00000000" w:rsidDel="00000000">
              <w:rPr>
                <w:rtl w:val="0"/>
              </w:rPr>
              <w:t xml:space="preserve">anotācijā norādīto, ka minētā rādītāja vērtībā tiks ieskaitīts viss to 1.3.1.1. pasākuma ietvaros īstenoto projektu finansējuma apjoms, kuru ietvaros plānots izstrādāt uz saimnieciskās darbības veicējiem vērstus pakalpojumus, produktus vai procesus.  Vienlaikus, tā kā 5.1.2. un 5.2.punktā norādītie lietotāji nebūs tādi lietotāji, kas integrēs savus digitālos risinājumus ar projekta ietvaros digitālo risinājumu, 5.2.punktā lūdzam pievienot atsauci, ka 5.1.2. un 5.2.punktā norādītie lietotāji netiek ieskaitīti 1.3.1.1.pasākuma rezultāta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Pievienotas atsauces, atbilstoši VARAM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ieguvumi un līdz ar to - ietekmēto saimnieciskās darbības veicēju skaits ir balstīts uz iepriekšējo gadu datiem, bet normatīvais regulējuma ierobežojumi var būtiski ietekmēt turpmāko kravas pārvadātāju skaitu, aicinām informēt visas iesaistītās institūcijas, ja projekta mērķu sasniegšana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ņemts vērā projekta realizācijas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3.4.5.apakšpunktā sasniedzamais rādītājs norādīts "Veikta optiskā un elektroapgādes tīkla infrastruktūras izbūve 1.prioritātes objektiem". Aicinām izvērtēt, vai nepieciešams precizēt rādītāju uz "Veikta optiskā un elektroapgādes tīkla infrastruktūras izbūve 2.prioritātes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minēto rādītāju plānots sasniegt 2028.gadā, aicinām izvērtēt, vai risinājuma "Robežšķērsošanas risinājumu pirmās kārtas īstenošana: ārējās robežas  šķērsošanas elektroniskās iepriekšējās pieteikšanās un rindas progresa sistēma" termiņš ieviešanai produkcijā  būtu precizējams arī uz 2028.gadu 5.2.apakšpunktā.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3.4.5.apakšpunkts.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sadaļā “Apraksts” aicinām redakcionāli precizēt iekavās ietverto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sadaļā: “Risinājuma apraksts” aicinām, papildināt tekstu ar skaidrojumu, ka pirmreizēji IKT risinājuma aktivitātes apraksts tika iesniegts VARAM tikai 10.12.2024.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1.3.apakšpunkts ar detalizētu IKT risinājuma aktivitātes apraksta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punktā “Problēmas apraksts” norādīto “Eiropas Savienības kohēzijas fonda finansējums” un pases 4. punktā – “Eiropas Savienības fondu daļa” uz “Eiropas Reģionālās attīstības fonda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1.3.apakšpunkts un pases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2.1. sadaļas apakšsadaļu "Juridiskās personas" ar norādi uz akciju sabiedrību “Latvijas Valsts radio un televīzijas centrs”, un atbilstošajā apakšsadaļā "Ietekmes apraksts" norādīt, ka akciju sabiedrība “Latvijas Valsts radio un televīzijas centrs” pildīs finansējuma saņēmēja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 sadaļas 6.2. apakšpunktā norādīt, ka tiks nodrošināts, ka ārpakalpojumā un ar iekšējiem resursiem veiktās darbības nepārklāsies (tiks novērsta dubultā finansējuma iespēja).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6.2.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17. punktā norādīts, ka priekšlikums ir ņemts vērā, vienlaikus anotācijas 3. sadaļas punkts “Cita informācija” nav papildināta ar informāciju, ka investīciju pasākumam nepieciešamais Eiropas Reģionālās attīstības fonda finansējums un valsts budžeta finansējums tiks pieprasīts no valsts budžeta programmas 80.00.00 "Nesadalītais finansējums Eiropas Savienības politiku instrumentu un pārējās ārvalstu finanšu palīdzības līdzfinansēto projektu un pasākumu īstenošanai", līdz ar to lūdzam papildināt anotācijas 3. sadaļas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punkts “Cita informācija” papildināta ar trūkstošo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punkta sadaļā “Cita informācija” aicinām norādīt, ka tiks uzsākts darbs pie e-pakalpojuma cenrāža izveides (ņemot vērā, ka e-pakalpojums ir izstrādāts par ES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3.punkta 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punkta 6.2. apakšpunktā aicinām redakcionāli precizēt tekstu virs tabulas.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virs tabulām anotācijas 3. sadaļas 6.2.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4. punktā norādīto un Anotācijas 3 sadaļas 6.2. apakšpunktā minēto, VARAM aicina papildināt Anotāciju ar norādi, ka LVRTC rīcībā ir nepieciešamie darbinieki ar atbilstošu kompetenci un ka tiks nodrošināts, ka ārpakalpojumā un ar iekšējiem resursiem veiktās darbības nepārklāsies.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 apakšpunkts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punktu “Cita informācija” ar informāciju, ka investīciju pasākumam nepieciešamais Eiropas Reģionālās attīstības fonda finansējums un valsts budžeta finansējums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anotācijas 8. punkta 8.1.1. un 8.1.2. apakšpunktos norādīt “Jā” un iekļaut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anotācijas 8. punkta 8.1.1. un 8.1.2. apakšpunkti.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 punkta 8.1.1. un 8.1.2. apakšpunktos aicinām norādīt “Jā” un iekļaut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anotācijas 8.sadaļas 8.1.1 un 8.1.2. apakšpunkti.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projekta ietekmi uz horizontālo principu "Vienlīdzība, iekļaušana, nediskriminācija un pamattiesību ievērošana" (HP VINPI), norādot, ka pasākumam </w:t>
            </w:r>
            <w:r w:rsidR="00000000" w:rsidRPr="00000000" w:rsidDel="00000000">
              <w:rPr>
                <w:u w:val="single"/>
                <w:rtl w:val="0"/>
              </w:rPr>
              <w:t xml:space="preserve">nav ietekmes uz HP VINPI</w:t>
            </w:r>
            <w:r w:rsidR="00000000" w:rsidRPr="00000000" w:rsidDel="00000000">
              <w:rPr>
                <w:rtl w:val="0"/>
              </w:rPr>
              <w:t xml:space="preserve">. Informējam, ka HP VINPI vadlīniju 1.pielikumā [1] tiks veikta atbilstoša atzīme par ietekmes veida uz HP VINPI maiņu no "Netieša" uz "Nav ietekmes". Atbilstoši HP VINPI vadlīnijās noteiktajam, pasākumiem, kuriem nav ietekmes uz HP VINPI ir jāīsteno vismaz viena vispārīga HP darbība.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1.3.1.1. nav ietekmes uz horizontālo principu "Vienlīdzība, iekļaušana, nediskriminācija un pamattiesību ievērošana" (HP VINPI), jo tas ir izteikti tehnisks, vērsts uz tehnoloģiju pilnveidošanu vai nomaiņu. Pasākuma īstenošanā tiks ievēroti nediskriminācijas principi un tiks īstenota vismaz viena  vispārīgā HP VINPI darbība, kas attiecas uz izveidotā pakalpojuma piekļūstamību: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projekta vai finansējuma saņēmēja tīmekļa vietnē ir piekļūstama cilvēkiem ar funkcionēšanas ierobežojumiem, izmantojot vairākus sensoros (redze, dzirde, tauste) kanālus (https://pieklustamiba.varam.gov.lv  /, Vadlīnijas piekļūstamības izvērtējumam pieejamas šeit: https://www.varam.gov.lv/lv/wwwvaramgovlv/lv/pieklustamiba);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 apakšpunkts papildināts ar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LVRTC un ATD atbildības sadalījumu precizēt saskaņā ar likumprojektā "Grozījumi Latvijas Republikas valsts robežas likumā" redakciju. (Likumprojekts tiks precizēts Satiksmes ministrijas organizētā starpiestāžu sanāksmē.)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funkciju sadalījumu jau ir iekļauts Likumprojekta “Grozījumi Latvijas Republikas valsts robežas likumā” (24-TA-2478)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2024. gada 23. jūlija sēdes protokollēmumā Nr.30, 57. §  noteikto, Elektroniskās rindas rezervācijas sistēmas pārzinis ir  ATD, bet LVRTC "nodrošina informatīvajā ziņojumā minētā risinājuma pirmā posma ieviešanu, tostarp robežšķērsošanas iepriekšējas pieteikšanās un rindas progresa sistēmas  e-pakalpojuma izstrādi un uzturēšanu sauszemes ārējās robežas robežšķērsošanas 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“Grozījumi Latvijas Republikas valsts robežas likumā” starpinstitūciju saskaņošanas sanāksmē 06.02.2025. runātajam, ATD un LVRTC, savstarpēji pārrunājot jautājumu par atbildības sadalījumu, vienojās, ka  ATD kā elektroniskās rindas rezervācijas sistēmas pārzinis organizēs un vadīs minētās sistēmas darbību, bet LVRTC funkcijas ietvers sistēmas izveidi, attīstību un uzturēšanu. Abu iestāžu atbildības sadalījuma likumiskais pamats, tostarp LVRTC atbildība un konkrētās funkcijas, iesaistoties sistēmas izveides, attīstības un uzturēšanas procesā, tiks noteikts, sistēmas pārzinim (ATD) saskaņojot funkciju sadalījumu ar Satiksmes ministriju un noslēdzot attiecīgu līgumu (vienošanos) ar LVRTC.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punktā aicinām ietvert norādi par kopējo projekta sociālekonomisko lietderīgumu monetārā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5.2. apakšpunktā aicinām norādīt konkrētu prognozēto lietotāju skaitu (ar atšifrējumu atbilstoši projekta pases aizpildīšanas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Projketa pases 5.2.apakšpunkts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3.4.5. apakšpunktā aicinām iekļaut norādi, lai viennozīmīgi identificējama sasaiste/nepārklāšanās ar 1. prioritātes 3. objektiem 2027. gadā (3.4.3.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5.2.apakšpunkts.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3.4. apakšpunktā pie sasniedzamajiem rezultātiem, aicinām izvērtēt, vai nebūtu atbilstīgi iekļaut arī e-pakalpojuma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3.4.apakšpunkts, norādot, ka tiks Izstrādāta Elektroniskās rindas rezervācijas sistēma, neizdalot atsevišķas komponentes. Elektroniskās rindas rezervācijas sistēma ietvers gan tehnisko programmatūras nodrošinājumu, gan publiski pieejamu e-pakalpojumu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 apakšpunktā aicinām redakcionāli precizēt otrās rindkopas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25-TA-747</w:t>
    </w:r>
    <w:r>
      <w:br/>
    </w:r>
    <w:r w:rsidR="00000000" w:rsidRPr="00000000" w:rsidDel="00000000">
      <w:rPr>
        <w:rtl w:val="0"/>
      </w:rPr>
      <w:t xml:space="preserve">15.07.2025. 14.30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25-TA-747</w:t>
    </w:r>
    <w:r>
      <w:br/>
    </w:r>
    <w:r w:rsidR="00000000" w:rsidRPr="00000000" w:rsidDel="00000000">
      <w:rPr>
        <w:rtl w:val="0"/>
      </w:rPr>
      <w:t xml:space="preserve">15.07.2025. 14.30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Izziņa_25-TA-747.docx</dc:title>
</cp:coreProperties>
</file>

<file path=docProps/custom.xml><?xml version="1.0" encoding="utf-8"?>
<Properties xmlns="http://schemas.openxmlformats.org/officeDocument/2006/custom-properties" xmlns:vt="http://schemas.openxmlformats.org/officeDocument/2006/docPropsVTypes"/>
</file>