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23-TA-769: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stiprināt sociālo partneru kapacitāti piedalīties sociālajā dialogā visos līmeņos, tai skaitā koplīgumu pārrunās, tādējādi sekmējot kvalitatīvu nodarbinātību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papildinot to ar norādi arī uz Eiropas Savienības līmeņa tiesiskā regulējuma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stiprināt sociālo partneru kapacitāti piedalīties sociālajā dialogā visos līmeņos, tai skaitā koplīgumu pārrunās, tādējādi sekmējot kvalitatīvu nodarbinātību nozarēs un Eiropas Savienības tiesiskā regulējuma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neizslēdz pasākuma ietekmi uz Eiropas Savienības (turpmāk – ES), kā arī nacionālā līmeņa normatīvā regulējuma izstrādi un ieviešanu, savukārt piedāvātā redakcija sašaurinātu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projektu izstrādes posmā ir paredzēts projekta iesnieguma vērtēšanas specifiskais atbilstības kritērijs “Projekts tiks īstenots atbilstoši Sociālās aizsardzības un darba tirgus politikas pamatnostādnēs 2021.-2027. gadam noteiktajiem mērķiem un citiem ES un nacionālajiem tiesību aktiem, kuri skar darba devēju un darba ņēmēju intereses, tai skaitā Eiropas Semestra ietvaros, kā arī veicinās Eiropas Parlamenta un Padomes Direktīvā (ES) 2022/2041 par adekvātām minimālajām algām Eiropas Savienībā noteikto mērķu sasniegšanu attiecībā uz koplīgumu sarunu veicināšanu par algu noteikšanu”, tādējādi projektu līmenī precizējot sasaisti gan ar nacionālā, gan ES tiesiskā regulējuma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20.06.2023. ar LM un pārējiem atzinumu sniedzējiem panākta vienošanās par esošās redakcijas saglabāšanu un anotācijas 1.2. sadaļas papildināšanu ar informāciju par plānoto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stiprināt sociālo partneru kapacitāti piedalīties sociālajā dialogā visos līmeņos, tai skaitā koplīgumu pārrunās, tādējādi sekmējot kvalitatīvu nodarbinātību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organizācijas, kas nodrošina darba devēju un darba ņēmēju interešu pārstāvniecību nacionālā līmeņa trīspusējā sociālā dialoga stiprināšanā.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organizācijas, kas nodrošina darba devēju un darbinieku interešu pārstāvniecību nacionālā līmeņa trīspusējā sociālā dialoga institūcijās (Nacionālajā trīspusējās sadarbības padomē un tās apakšpadomēs).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organizācijas, kas nodrošina darba devēju un nodarbināto interešu pārstāvniecību nacionālā līmeņa trīspusējā sociālā dialoga institūcijās (Nacionālajā trīspusējās sadarbības padomē un tās apakšpadomēs).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līdz 2027. gada 31. decembrim sasniedzams šāds rezultāta rādītājs: atbalstīto sociālo partneru skaits, kas sniedz atzinumus un priekšlikumus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līdz 2027. gada 31. decembrim sasniedzams šāds rezultāta rādītājs: atbalstīto sociālo partneru skaits, kuri piedalās nacionālā līmeņa trīspusējā sociālā dialoga institūcijās (t.sk. sniedz atzinumus un priekšlikumus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un rezultāta rādītāju nosaukumi ir norādāmi atbilstoši ES kohēzijas politikas programmā 2021.–2027. gadam noteiktajam, kas atbilst esošajai redakcijai (mainīta numerācija - 4.2.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20.06.2023. panākta vienošanās ar LM un pārējiem atzinumu sniedzējiem par esošās redakcijas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iesniedzēji pasākuma ietvaros ir Latvijas Brīvo arodbiedrību savienība un Latvijas Darba devēju konfederācija – organizācijas, kas atbilst nacionālā līmeņa sociālā partnera statusam un nodrošina darba devēju vai darba ņēmēju organizāciju interešu pārstāvniecību.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to, ka normatīvajos aktos nav definēts jēdziens "nacionālā līmeņa sociāla partnera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iesniedzēji pasākuma ietvaros ir Latvijas Brīvo arodbiedrību savienība un Latvijas Darba devēju konfederācija – organizācijas, kuras piedalās nacionālā līmeņa trīspusējā sociālā dialoga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nacionālā līmeņa sociālie partneri  - darba devēju interešu un darba ņēmēju interešu pārstāvji - ir Latvijas Darba devēju konfederācija (LDDK), kas darbojas saskaņā ar Darba devēju organizāciju un to apvienību likumu, un Latvijas Brīvo arodbiedrību savienība (LBAS), kas darbojas saskaņā ar Arodbiedrību likumu. Tas ir noteikts ar 2004. gada 1. oktobrī Latvijas Republikas Ministru kabineta, LBAS un LDDK parakstīto Trīspusējo vienošanos par sociāli ekonomisko partnerību.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iesniedzēji pasākuma ietvaros ir Latvijas Brīvo arodbiedrību savienība un Latvijas Darba devēju konfederācija – organizācijas, kuras veido nacionālā līmeņa trīspusējo sociālo dialogu un nodrošina darba devēju vai nodarbināto organizāciju interešu pārstāvniecību.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ANO Konvencijā par personu ar invaliditāti tiesībām noteikto vienlīdzīgu iespēju principu un horizontālā principa “Vienlīdzība, iekļaušana, nediskriminācija un pamattiesību ievērošana”  (HP)  īstenošanu praksē, aicinām  paredzēt attiecināmās izmaksas vispārīgo un specifisko HP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pandusu noma, indukcijas cilpu noma, zīmju valodas tulku un vieglās valodas tulkošanas pakalpojumu izmaksas, subtitrēšanas un reāllaika transkripcijas pakalpojumu izmaksas, ja tas ir nepieciešams vides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apakšpunkts 14.2.10. izmaksas horizontālā principa “Vienlīdzība, iekļaušana, nediskriminācija un pamattiesību ievērošana” darbību īstenošanai, t.sk. pandusu noma, indukcijas cilpu noma, zīmju valodas tulku un vieglās valodas tulkošanas pakalpojumu izmaksas, subtitrēšanas un reāllaika transkripcijas pakalpojumu izmaksas, ja tas ir nepieciešams vides un informācijas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paskaidrot, kas konkrētā projekta ietvaros tiks uzskatīts par izvērtējumu, pētījumu un ekspertīzi.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un ekspertīžu  veikšana sociālā dialoga attīstībai, t.sk., attiecībā uz normatīvā regulējuma izstrādi un pilnveidi, kas veicina koplīgumu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jau atbilst šai izpratnei un pasākuma mērķim, anotācijas 1.3. sadaļā piedāvājot precīzāku skaidrojumu - nosakot, ka izvērtējumiem, pētījumiem, ekspertīzēm un analīzēm jāveicina pasākuma mērķa sasniegšana, un nosaucot dažas no tēmām, par kurām var tikt veikti izvērtējumi, pētījumi, ekspertīzes un analīzes, tai skaitā minēti arī koplīgumu slēgšanas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20.06.2023. ar LM un pārējiem atzinumu sniedzējiem panākta vienošanās par esošās redakcijas saglabāšanu un anotācijas 1.3. sadaļas papildināšanu ar informāciju par plānoto izvērtējumu, pētījumu, ekspertīžu un analīžu tematisko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atbalsts iesaistei tāda normatīvā regulējuma izstrādē un pilnveidē, kas veicina darba devēju un darba ņēmēju organizāciju koplīgumu 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atbalsts iesaistei Eiropas Parlamenta un Padomes 2022.gada 19.oktobra direktīvas 2022/2041 par adekvātām minimālajām algām Eiropas Savienībā un Padomes ieteikumu par sociālā dialoga stiprināšanu Eiropas Savienībā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 atbalstu finansējuma saņēmēju iesaistei jebkura koplīgumu slēgšanu veicinoša nacionāla un ES līmeņa normatīvā regulējuma izstrādē un pilnveidē visa projekta laika posmā līdz 2027. gada 31. decembrim, turpretim piedāvātā redakcija ierobežo finansējuma saņēmēju iesaistes iespējas, tādējādi sašaurinot projekta potenciālo ietekmi un neļaujot izmantot potenciālu projekta mērķa sasniegšanā, kā arī piedāvātā redakcija neatbilst programmas rezultāta rādītājam. Vienlaikus noteikumu projekta 12. punktā minētās atbalstāmās darbības balstītas uz ES Kohēzijas politikas programmā 2021.-2027. gadam noteikto, ir apjomā koncentrētas un neietver atsauces uz kādiem konkrētiem tiesību aktiem. Tāpat vēršam uzmanību, ka anotācijas 1.3. sadaļā jau ir ietvertas atsauces uz Eiropas Parlamenta un Padomes 2022. gada 19. oktobra Direktīvu (ES) 2022/2041 un Padomes ieteikumu par sociālā dialoga stiprināšanu Eiropas Savienībā, kā arī ir paredzēts projekta iesnieguma vērtēšanas specifiskais atbilstības kritērijs  “Projekts tiks īstenots atbilstoši Sociālās aizsardzības un darba tirgus politikas pamatnostādnēs 2021.-2027. gadam noteiktajiem mērķiem un citiem Eiropas Savienības un nacionālajiem tiesību aktiem, kuri skar darba devēju un darba ņēmēju intereses, tai skaitā Eiropas Semestra ietvaros, kā arī veicinās Eiropas Parlamenta un Padomes Direktīvā (ES) 2022/2041 par adekvātām minimālajām algām Eiropas Savienībā noteikto mērķu sasniegšanu attiecībā uz koplīgumu sarunu veicināšanu par algu noteikšanu”, tādējādi projektu līmenī paredzot sasaisti ar nacionālā un Eiropas Savienības tiesiskā regulējuma ieviešanu, t.sk. ar konkrēto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20.06.2023. ar LM un pārējiem atzinumu sniedzējiem panākta vienošanās par esošās redakcijas saglabāšanu un par anotācijas 1.3. sadaļas papildināšanu.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atbalsts iesaistei tāda normatīvā regulējuma izstrādē un pilnveidē, kas veicina darba devēju un nodarbināto organizāciju koplīgumu slēgšanu;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platformas un digitālie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 sadaļā)  norādot, ka pasākuma ietvaros veidojot digitālos risinājumus, tiks ņemts vērā piekļūstamības princips, kā to paredz ANO Konvencija par personu ar invaliditāti tiesībām, proti, pasākuma ietvaros izveidotie produkti un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8.1.9.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platformu izveide un digitālo risinājumu ieviešana;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platformas un digitālie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platformu izveide un digitālo risinājumu ieviešana;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platformu izveide un digitālo risinājumu ieviešana;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8.1.9.sadaļā vai 8.1.10.) , norādot, ka pasākuma ietvaros īstenojot informācijas un publicitātes pasākumus,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kā arī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8.1.9. un 8.1.10. sadaļas papildinātas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informācijas un publicitātes pasākumi, tai skaitā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projekta vadības un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 un 8.1.10. sadaļās, ka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8.1.9. un 8.1.10. sadaļas papildinātas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projekta vadības un īstenošanas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Finanšu ministriju (turpmāk – vadošā iestāde). Līdz metodikas apstiprināšanai tiek piemērota personāla izmaksu vienotā likme 20 procentu apmērā no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šāda pieejas maiņa, līdz ar to lūdzam izvēlēties vienu no risinājumiem un ar to virzīties uz saskaņošanu ar VI. Papildus norādām, ka vienotā likme ir jāsaskaņo ar VI, pierādot šo konkrēto likmes apmēru, kā arī anotācijā jābūt obligāti norādāmajai informācijai, piemērojot šo vienkāršoto izmaksu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ar vienoto personāla likmi līdz 20 % ir pietiekami, lai segtu personāla atlīdzības izmaksas, lūdzam izvērtēt nepieciešamību izstrādāt vienkāršoto izmaksu metodiku, kas ir administratīvi lielāks slogs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apakšpunkts: 14.2.9. mācību pasākumu organizēšanas izmaksas šo noteikumu 12.1. apakšpunktā minētās atbalstāmās darbības īstenošanai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vadošo iestādi. 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pārējās projekta īstenošanas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pasniedzēju, konsultantu, ekspertu un citu speciālistu atlīdzība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izmaksu un funkciju nepārklāšanos starp minētajiem speciālistiem un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pasniedzēju, konsultantu, ekspertu un citu speciālistu atlīdzība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vai daļlaiku, darba vietas aprīkojuma izmaksas ir attiecināmas proporcionāli atlīdzības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2022.gada 25.augusta vadlīniju Nr. 1.2. "Vadlīnijas attiecināmo izmaksu noteikšanai Eiropas Savienības kohēzijas politikas programmas 2021.-2027.gada plānošanas periodā" 33.punktam daļlaika izmaksu attiecināšanas principa gadījumā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projekta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 normatīvajos aktos par obligātajām veselības pārbaudēm paredzēto veselības pārbaužu izmaksas, redzes korekcijas līdzekļu kompensācija, veselības apdrošināšana projekta vadības un projekta īstenošanas personālam, ja veselības apdrošināšana paredzēta finansējuma saņēmēja iestādē. Ja projekta vadības un projekta īstenošanas personāls ir nodarbināts normālu darba laiku, veselības apdrošināšanas izmaksas ir attiecināmas 100 procentu apmērā. Ja projekta vadības un projekta īstenošanas personāls ir nodarbināts nepilnu darba laiku, veselības apdrošināšanas izmaksas nosakāmas atbilstoši nepilnā darba laika noslodzei. Ja projekta vadības un projekta īstenošanas personāla atlīdzībai piemēro daļlaika attiecināmības principu, veselības apdrošināšanas izmaksas nosakāmas proporcionāli atlīdzības procentuālajam sadalījumam. Veselības apdrošināšanas izmaksas ir attiecināmas tikai uz laiku, kad projekta vadības un projekta īstenošanas personāls ir nodarbināts projektā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14.2.9. apakšpunktā minētās izmaksas par obligātajām veselības pārbaudēm un redzes korekcijas līdzekļu kompensāciju ir attiecināmas no 14.1.punktā minētajām izmaksām, lūdzam šo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projekta vadības un projekta īstenošanas personāls organizācijā veic pienākumus, kas ir saistīti ne tikai ar projektu, bet arī ar konkrētās organizācijas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Eiropas Sociālā fonda Plus ir tiešās attiecināmās izmaksas, ja darbinieks projektā ir nodarbināts vismaz 30 procentu apmērā no kopējās noslodzes.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vadības un īstenošanas personālam paredzētās vienkāršotās izmaksas atbilstoši 14.1.punktam, šo punktu lūdzam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nosakot,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apakšpunkts: 22.9.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nodrošina horizontālā principa "Vienlīdzība, iekļaušana, nediskriminācija un pamattiesību ievērošana" vispārīgās un specifiskās darbības, kas veicina vienlīdzību, iekļaušanu, nediskrimināciju un pamattiesību ievērošanu, kā arī nodrošina rādītāju uzkrāšanu un 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ieviešanas uzraudzību, atbilstoši HP vadlīnijās [1] noteiktajam, lūdzam papildināt MK noteikumu projektu ar konkrētiem HP rādītājiem, par kuriem finansējuma saņēmējam ir jāauzkrāj dati (atbilstoši 4.3.4.4. pasākuma projektu iesniegumu vērtēšanas metodikai, kas tika saskaņota 27.04.2023. apakškomitejā: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horizontālo principu "Vienlīdzība, iekļaušana, nediskriminācija un pamattiesību ievērošana” un  uzkrāj datus par horizontālā principa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konsultatīva rakstura pasākumu par par dzimumu līdztiesības, personu ar invaliditāti vienlīdzīgu iespēju, vecuma nediskriminācijas, etniskās u.c. piederības un pamattiesību jautājumiem (piemēram, izstrādājot apmācību programmu saturu, plānojot komunikācijas aktivitātes, organizējot informatīvus pasākumus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izstrādāto vai pilnveidoto apmācību programmu, metodiskie līdzekļu, vadlīniju, mācību līdzekļu, t.sk. digitālo, skaits, kuros ir integrēti dzimumu līdztiesības, personu ar invaliditāti vienlīdzīgu iespēju, vecuma nediskriminācijas, etniskās u.c. piederības un pamattiesību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saņēmušo sociālās atstumtības un nabadzības riskam pakļauto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sasniedzamo HP rādītāju definēšana MK noteikumos ir projekta iesniedzēja ierobežošana noteikt konkrētā projekta mērķim un darbībām visatbilstošākos HP VINPI rādītājus un darbības atbilstoši “Vadlīnijās horizontālā principa “Vienlīdzība, iekļaušana, nediskriminācija un pamattiesību ievērošana” īstenošanai un uzraudzībai (2021-2027)” piedāvātajam izvēles klāstam. Papildus vēršam uzmanību, ka iebildums atbildīgajai iestādei būt tai, kas nosaka HP VINPI rādītājus un darbības, ir pretrunā ar Eiropas Reģionālās attīstības fonda, Eiropas Sociālā fonda plus, Kohēzijas fonda un Taisnīgas pārkārtošanās fonda projektu iesniegumu atlases metodikā 2021.–2027.gadam noteikto, ka projektu iesniegumu vērtēšanas komisijai jāvērtē, vai un kādus rādītājus un darbības projekta iesniegumā ir iekļāvis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Labklājības ministrija aicināja sazināties ar Centrālo finanšu un līgumu aģentūru (CFLA), lai noskaidrotu, vai Kohēzijas politikas fondu vadības informācijas sistēmas (KPVIS) funkcionalitāte nepieprasa jau iepriekš, MK noteikumu līmenī, definēt konkrētus sasniedzamos rādītājus, lai tos varētu ievadīt sistēmā. Sazinoties ar CFLA Programmu uzraudzības un stratēģiskās plānošanas nodaļu, tika konstatēts, ka KPVIS funkcionalitāte šādu vajadzību neparedz, jo KPVIS 2021.-2027. gada plānošanas perioda apakšsistēmā ir ievadīti visi HP rādītāji, kuri definēti LM Vadlīniju 4.pielikumā. Tālāk virsprojekta līmenī pastāv divas iespējas – ja MK noteikumos jau ir definēti konkrēti rādītāji, vadošās iestādes darbinieki attiecīgajam specifiskā atbalsta mērķim pievienos tikai tos, savukārt, ja MK noteikumos ir norāde uz visiem rādītājiem, no kuriem projekta iesniedzējs var pats izvēlēties atbilstošāko/-os, tad KPVIS funkcionalitāte pieļauj arī šādu variantu – attiecīgajam specifiskā atbalsta mērķim pievienot visu iespējamo rādītāju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rakstiski ārpus Tiesību aktu portāla - 31.05.2023 saņemts LM saskaņojums piedāvātajai redakcijai. Apakšpunkta redakcija precizēta, norādot minimālo nepieciešamo HP rādītāju un darbību skaitu. Saskaņošanas sanāksmē 20.06.2023. ar LM un pārējiem atzinumu sniedzējiem notikusi vienošanās par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īsteno vismaz trīs vispārīgās un vismaz trīs specifiskās darbības, kā arī nodrošina datu uzkrāšanu un ziņošanu par vismaz vienu rādītāju, kas veicina horizontālā principa "Vienlīdzība, iekļaušana, nediskriminācija un pamattiesību ievērošana"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aizstāt "darba ņēmējs" ar "darbinieks" attiecīgajā locījumā, ņemot vērā to, ka darba tiesisko attiecību ietvaros tiek izmantots jēdziens "darbinieks", kas apzīmē personas, ar kurām darba devējs noslēdz darba līgumu. Savukārt jēdziens "darba ņēmējs" tiek izmantots situācijās, kad tiek runāts par sociālo apdrošināšanu un šis jēdziens ir krietni plašāks par jēdzienu "darbinieks".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“darba ņēmējs” noteikumu projektā un anotācijā aizstāts ar “nodarbinātais”, nevis “darbinieks”, jo mērķa grupa ir organizācijas, kas nodrošina ne tikai darbinieku interešu pārstāvniecību, bet arī amatpersonu, tostarp valsts civildienesta ierēdņu, Iekšlietu ministrijas sistēmas iestādes un Ieslodzījuma vietu pārvaldes amatpersonas ar speciālo dienesta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tekstā konsekventi izmantot organizāciju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"Atbalstāmās darbības un izmaksas" detalizētāk aprakstīt un minēt piemērus, kas būtu saprotams ar "izvērtējums", "pētījums", "ekspertīze" un citiem īstenojamiem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jau ir ietverts atbalstāmās darbības “Izvērtējumu, pētījumu, ekspertīžu un analīzes veikšana” skaidrojums, nosaucot tēmas, par kurām darbība veicama. Uzskatām, ka minētie jēdzieni vispārpieņemti, saprotami un to definīcijas anotācijā iekļaut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20.06.2023. panākta vienošanās ar LM un pārējiem atzinumu sniedzējiem par esošās redakcijas saglabāšanu un anotācijas 1.3. sadaļas papildināšanu ar plašāku informāciju par plānoto izvērtējumu, pētījumu, ekspertīžu un analīžu tematisko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šajā sadaļā ir norādīts, ka LDDK ir SDO dalīborganizācija. Lai arī šāda veida norāde savulaik tika ietverta Darba devēju organizāciju un to apvienību likumā, tomēr tā ir uzskatāma par kļūdainu. Vēršam Jūsu uzmanību uz to, ka Starptautiskās darba organizācijas dalībnieces ir valstis (atbilstoši šīs organizācijas statūtiem). Starptautiskās darba organizācijas dalībnieču delegācijas tiek veidotas trīspusējas, proti, tiek iesaistītas darbinieku un darba devējus pārstāvošās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norādītā informācija “Saskaņā ar Darba devēju organizāciju un to apvienību likuma 10. pantu Latvijas darba devēju pārstāvību divpusējās un trīspusējās sadarbības institūcijās izvirza darba devēju organizāciju apvienība, kurā apvienojušies darba devēji, kas nodarbina visvairāk no valstī strādājošajiem, un kura ir SDO dalīborganizācija. Atbilstoši minētajam regulējumam LDDK ir vienīgā savstarpēji atzītā Latvijas darba devēju organizāciju apvienība un SDO dalīborganizācija vairāk nekā 25 gadus,” iekļauta, norādot tiešu atsauci uz Darba devēju organizāciju un to apvienību likuma 10. panta 1. daļu: “(1) Darba devēju intereses valsts līmenī attiecībās ar Ministru kabinetu pārstāv Latvijas darba devēju organizāciju apvienība, kurā apvienojušies darba devēji, kas nodarbina visvairāk no valstī strādājošajiem, un kura ir Starptautiskās darba organizācijas dalīborganizācija”. Likums ir spēkā esošs, līdz ar to atsauce uz tā pantu nav uzskatāma par kļūdainu. Vienlaikus, SDO Konstitūcijas 2. daļa nosaka, ka organizācijas dalībnieki ir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Saskaņā ar Darba devēju organizāciju un to apvienību likuma 10. pantu Latvijas darba devēju pārstāvību divpusējās un trīspusējās sadarbības institūcijās izvirza darba devēju organizāciju apvienība, kurā apvienojušies darba devēji, kas nodarbina visvairāk no valstī strādājošajiem, un kura ir SDO dalīborganizācija. Atbilstoši minētajam regulējumam LDDK ir vienīgā savstarpēji atzītā Latvijas darba devēju organizāciju apvienība un </w:t>
            </w:r>
            <w:r w:rsidR="00000000" w:rsidRPr="00000000" w:rsidDel="00000000">
              <w:rPr>
                <w:u w:val="single"/>
                <w:rtl w:val="0"/>
              </w:rPr>
              <w:t xml:space="preserve">Latvijas trīspusējās delegācijas SDO</w:t>
            </w:r>
            <w:r w:rsidR="00000000" w:rsidRPr="00000000" w:rsidDel="00000000">
              <w:rPr>
                <w:rtl w:val="0"/>
              </w:rPr>
              <w:t xml:space="preserve"> dalīborganizācija vairāk nekā 25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noteikto, lūdzam papildināt anotāciju ar skaidrojumu un pamatojumu avansa un stapposma maksājuma kopsummas noteikšanai 95%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mērķis ir: "Pasākuma mērķis ir stiprināt sociālo partneru kapacitāti piedalīties sociālajā dialogā visos līmeņos, tai skaitā koplīgumu pārrunās, tādējādi sekmējot kvalitatīvu nodarbinātību nozarēs un Eiropas Savienības tiesiskā regulējuma ieviešanu", Labklājības ministrijas ieskatā ietekmi nevar uzskatīt par netiešu.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2.2.6.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7.punktā sniegto informāciju attiecībā uz iespējamo ietekmi uz finansējuma saņēmējiem (sociālajiem partneriem), ņemot vērā, ka minētajā sadaļā tiek atspoguļota ietekme tikai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projekta ietvaros plānotajām vispārīgajām un specifiskajām horizontālā principa darbībām (aicinām skatīt 4.3.4.4. pasākuma projektu iesniegumu vērtēšanas metodiku, kas tika saskaņota 27.04.2023. ES fondu apakškomitejā), kuras veicinās personu ar invaliditāti vienlīdzīgas iespējas un tiesības, kā tas ir noteikts  Vadlīnijās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8.1.9.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projekta ietvaros plānotajām vispārīgajām un specifiskajām horizontālā principa darbībām ((aicinām skatīt 4.3.4.4. pasākuma projektu iesniegumu vērtēšanas metodiku, kas tika saskaņota 27.04.2023. ES fondu apakškomitejā), kuras veicinās dzimumu līdztiesību, kā tas ir noteikts  Vadlīnijās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8.1.10.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sašaurina projektā ietverto mērķi. Turklāt jāuzsver, ka atzinumu sniegšana kā šo organizāciju pienākums jau ir nostiprināts Ministru kabineta 2021.gada 7.septembra noteikumos Nr.606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anotācijas 8.1.12. sadaļā norādītais ietekmes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papildus jau esošai informācijai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pirms vārda "pieejamo".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 un nacionālā līdzfinansējuma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2027.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rādītāju veidus atbilstoši apstiprinātajās vadlīnijās Nr.1.4. "Vadlīnijas Ministru kabineta noteikumu par specifiskā atbalsta mērķa īstenošanu izstrādei Eiropas Savienības fondu 2021.—2027. gada plānošanas periodā" norādītajiem rādītāju veidiem, kas paredz, ka ir trīs rādītāju veidi - iznākuma rādītāji, rezultāta rādītāji,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2027. gada 31. decembrim ir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sociālo partneru skaits, kas saņēmuši atbalstu – 2, tai skaitā līdz 2024. gada 31. decembrim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rezultāta rādītājs atbalstīto sociālo partneru skaits, kas sniedz atzinumus/priekšlikumus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4. punktā un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2027. gada 31. decembrim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4. un 5. punkta redakciju, izsakot tos vienā punktā atbilstoši Vadošās iestādes vadlīnijām “Vadlīnijas Ministru kabineta noteikumu par specifiskā atbalsta mērķa īstenošanu izstrādei”, vienlaikus precizējot rādītāju nosaukumus un veidus atbilstoši Programmā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sociālo partneru skaits, kas saņēmuši atbalstu – 2, tai skaitā līdz 2024. gada 31. decembrim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rezultāta rādītājs atbalstīto sociālo partneru skaits, kas sniedz atzinumus/priekšlikums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 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2027. gada 31. decembrim ir sasniedzami šādi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1 740 000 </w:t>
            </w:r>
            <w:r w:rsidR="00000000" w:rsidRPr="00000000" w:rsidDel="00000000">
              <w:rPr>
                <w:i w:val="1"/>
                <w:rtl w:val="0"/>
              </w:rPr>
              <w:t xml:space="preserve">euro </w:t>
            </w:r>
            <w:r w:rsidR="00000000" w:rsidRPr="00000000" w:rsidDel="00000000">
              <w:rPr>
                <w:rtl w:val="0"/>
              </w:rPr>
              <w:t xml:space="preserve">(tai skaitā elastības finansējuma apjoms 274 528 </w:t>
            </w:r>
            <w:r w:rsidR="00000000" w:rsidRPr="00000000" w:rsidDel="00000000">
              <w:rPr>
                <w:i w:val="1"/>
                <w:rtl w:val="0"/>
              </w:rPr>
              <w:t xml:space="preserve">euro</w:t>
            </w:r>
            <w:r w:rsidR="00000000" w:rsidRPr="00000000" w:rsidDel="00000000">
              <w:rPr>
                <w:rtl w:val="0"/>
              </w:rPr>
              <w:t xml:space="preserve">), tai skaitā Eiropas Sociālā fonda Plus finansējums 1 479 000 </w:t>
            </w:r>
            <w:r w:rsidR="00000000" w:rsidRPr="00000000" w:rsidDel="00000000">
              <w:rPr>
                <w:i w:val="1"/>
                <w:rtl w:val="0"/>
              </w:rPr>
              <w:t xml:space="preserve">euro </w:t>
            </w:r>
            <w:r w:rsidR="00000000" w:rsidRPr="00000000" w:rsidDel="00000000">
              <w:rPr>
                <w:rtl w:val="0"/>
              </w:rPr>
              <w:t xml:space="preserve">(tai skaitā elastības finansējuma apjoms 233 349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valsts budžeta finansējums 261 000 </w:t>
            </w:r>
            <w:r w:rsidR="00000000" w:rsidRPr="00000000" w:rsidDel="00000000">
              <w:rPr>
                <w:i w:val="1"/>
                <w:rtl w:val="0"/>
              </w:rPr>
              <w:t xml:space="preserve">euro </w:t>
            </w:r>
            <w:r w:rsidR="00000000" w:rsidRPr="00000000" w:rsidDel="00000000">
              <w:rPr>
                <w:rtl w:val="0"/>
              </w:rPr>
              <w:t xml:space="preserve">(tai skaitā elastības finansējuma apjoms 41 179 </w:t>
            </w:r>
            <w:r w:rsidR="00000000" w:rsidRPr="00000000" w:rsidDel="00000000">
              <w:rPr>
                <w:i w:val="1"/>
                <w:rtl w:val="0"/>
              </w:rPr>
              <w:t xml:space="preserve">euro</w:t>
            </w:r>
            <w:r w:rsidR="00000000" w:rsidRPr="00000000" w:rsidDel="00000000">
              <w:rPr>
                <w:rtl w:val="0"/>
              </w:rPr>
              <w:t xml:space="preserve">), ievērojot,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7. un 8. punkta redakciju, izsakot tos atbilstoši Vadošās iestādes vadlīnijām “Vadlīnijas Ministru kabineta noteikumu par specifiskā atbalsta mērķa īstenošanu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 tai skaitā, norādot informāciju par 4.3.4.4. pasākumā pieejamo finansējumu, attiecībā uz valsts budžetu lietot terminu "līdzfinansējums".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finansējums ir 1 740 000 euro (tai skaitā elastības finansējuma apjoms 274 528 euro), tai skaitā Eiropas Sociālā fonda Plus finansējums 1 479 000 euro (tai skaitā elastības finansējuma apjoms 233 349 euro) un valsts budžeta līdzfinansējums 261 000 euro (tai skaitā elastības finansējuma apjoms 41 179 euro). Maksimālais Eiropas Sociālā fonda Plus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iesniegumos pasākuma īstenošanai kopējo pasākuma pieejamo finansējumu plāno ne vairāk kā 1 465 472 euro apmērā, tai skaitā Eiropas Sociālā fonda Plus finansējumu – 1 245 651 euro apmērā, valsts budžeta līdzfinansējumu – 219 821 euro apmērā. Katram šo noteikumu 10. punktā minētajam projekta iesniedzējam ir pieejami ne vairāk kā 50 procenti no šā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Atbildīgā iestāde pēc Eiropas Komisijas lēmuma par vidusposma pārskatu var ierosināt no 2026. gada 1. janvāra palielināt pasākumam pieejamo kopējo finansējumu līdz šo noteikumu 7.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norādītie labojumi, t.sk. vārdi “valsts budžeta finansējums” aizstāti ar “valsts budžeta līdzfinansējums”.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1 740 000 </w:t>
            </w:r>
            <w:r w:rsidR="00000000" w:rsidRPr="00000000" w:rsidDel="00000000">
              <w:rPr>
                <w:i w:val="1"/>
                <w:rtl w:val="0"/>
              </w:rPr>
              <w:t xml:space="preserve">euro </w:t>
            </w:r>
            <w:r w:rsidR="00000000" w:rsidRPr="00000000" w:rsidDel="00000000">
              <w:rPr>
                <w:rtl w:val="0"/>
              </w:rPr>
              <w:t xml:space="preserve">(tai skaitā elastības finansējums 274 528 </w:t>
            </w:r>
            <w:r w:rsidR="00000000" w:rsidRPr="00000000" w:rsidDel="00000000">
              <w:rPr>
                <w:i w:val="1"/>
                <w:rtl w:val="0"/>
              </w:rPr>
              <w:t xml:space="preserve">euro</w:t>
            </w:r>
            <w:r w:rsidR="00000000" w:rsidRPr="00000000" w:rsidDel="00000000">
              <w:rPr>
                <w:rtl w:val="0"/>
              </w:rPr>
              <w:t xml:space="preserve">), tai skaitā Eiropas Sociālā fonda Plus finansējums 1 479 000 </w:t>
            </w:r>
            <w:r w:rsidR="00000000" w:rsidRPr="00000000" w:rsidDel="00000000">
              <w:rPr>
                <w:i w:val="1"/>
                <w:rtl w:val="0"/>
              </w:rPr>
              <w:t xml:space="preserve">euro </w:t>
            </w:r>
            <w:r w:rsidR="00000000" w:rsidRPr="00000000" w:rsidDel="00000000">
              <w:rPr>
                <w:rtl w:val="0"/>
              </w:rPr>
              <w:t xml:space="preserve">(tai skaitā elastības finansējums 233 349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valsts budžeta līdzfinansējums 261 000 </w:t>
            </w:r>
            <w:r w:rsidR="00000000" w:rsidRPr="00000000" w:rsidDel="00000000">
              <w:rPr>
                <w:i w:val="1"/>
                <w:rtl w:val="0"/>
              </w:rPr>
              <w:t xml:space="preserve">euro </w:t>
            </w:r>
            <w:r w:rsidR="00000000" w:rsidRPr="00000000" w:rsidDel="00000000">
              <w:rPr>
                <w:rtl w:val="0"/>
              </w:rPr>
              <w:t xml:space="preserve">(tai skaitā elastības finansējums 41 179 </w:t>
            </w:r>
            <w:r w:rsidR="00000000" w:rsidRPr="00000000" w:rsidDel="00000000">
              <w:rPr>
                <w:i w:val="1"/>
                <w:rtl w:val="0"/>
              </w:rPr>
              <w:t xml:space="preserve">euro</w:t>
            </w:r>
            <w:r w:rsidR="00000000" w:rsidRPr="00000000" w:rsidDel="00000000">
              <w:rPr>
                <w:rtl w:val="0"/>
              </w:rPr>
              <w:t xml:space="preserve">). Maksimālais Eiropas Sociālā fonda Plus finansējuma apmērs nepārsniedz 85 % no projekta kopējā attiecināmā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atbilstoši projektu iesniegumu atlases nolikumam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11.punktā vārdu "arī". Vēršam uzmanību, ka saskaņā ar Eiropas Savienības fondu 2021.-2027.gada plānošanas perioda vadības likuma regulējumu, projekta iesniedzējs </w:t>
            </w:r>
            <w:r w:rsidR="00000000" w:rsidRPr="00000000" w:rsidDel="00000000">
              <w:rPr>
                <w:b w:val="1"/>
                <w:u w:val="single"/>
                <w:rtl w:val="0"/>
              </w:rPr>
              <w:t xml:space="preserve">ir finansējuma saņēmējs</w:t>
            </w:r>
            <w:r w:rsidR="00000000" w:rsidRPr="00000000" w:rsidDel="00000000">
              <w:rPr>
                <w:rtl w:val="0"/>
              </w:rPr>
              <w:t xml:space="preserve">, ja tā projekta iesniegums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11.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atbilstoši projektu iesniegumu atlases nolikumam sagatavo projekta iesniegumu un iesniedz to sadarbības iestādē, izmantojot Kohēzijas politikas fondu vadības informācijas sistēmu. Ja sadarbības iestāde apstiprina projekta iesniegumu, projekta iesniedzējs ir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12.7.apakšpunktu, 14.2.7. un 14.2.8.punktu, kā arī 22.2.apakšpunktu.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12.7., 14.2.7. un 22.2. apakšpunktos, kā arī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informācijas un publicitātes pasākumi, tai skaitā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apakšpunkta beigu daļu svītrot no MK noteikumu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personāla izmaksas – finansējuma saņēmēja projekta vadības un projekta īstenošanas personāla atlīdzības izmaksas (izņemot virsstundas) šo noteikumu 12.8. apakšpunktā minētās atbalstāmās darbības īstenošanai. Izmaksas ir attiecināmas atbilstoši atbildīgās iestādes apstiprinātajai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14.1.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Finanšu ministriju (turpmāk – vadošā iestāde). Līdz metodikas apstiprināšanai tiek piemērota personāla izmaksu vienotā likme 20 procentu apmērā no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14.1.apakšpunktā vārdus "Finanšu ministriju (turpmāk – vadošā iestāde)" ar vārdiem "vadošo iestādi", ņemot vērā, ka iestāde, kas nodrošina vadošās iestādes funkcijas ir noteikta Eiropas Savienības fondu 2021.-2027.gada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ārvalstu mācību, darba un dienesta komandējumu un dienesta braucienu izmaksas (arī mācību maksa), ja tās ir saistītas ar projekta rezultātu sasniegšanu. Šīs izmaksas ir attiecināmas tikai projekta vadītājam un projekta īstenošanas personālam atbilstoši normatīvajiem aktiem par </w:t>
            </w:r>
            <w:r w:rsidR="00000000" w:rsidRPr="00000000" w:rsidDel="00000000">
              <w:rPr>
                <w:rtl w:val="0"/>
              </w:rPr>
              <w:t xml:space="preserve">kārtību, kādā atlīdzināmi ar komandējumiem saistītie izdevumi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vai ārzemju komandējumi ir paredzēti ES dalībvalstīs vai arī ārpus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Ārzemju komandējumi ir paredzēti gan ES dalībvalstīs, gan ārpus tām, līdz ar to saglabāta esošā apakšpunkta redakcija, kas ietver visus šos galamērķus. Vienlaikus, 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ārvalstu mācību, darba un dienesta komandējumu un dienesta braucienu izmaksas (arī mācību maksa), ja tās ir saistītas ar projekta rezultātu sasniegšanu. Šīs izmaksas ir attiecināmas tikai projekta vadītājam un projekta īstenošanas personālam atbilstoši normatīvajiem aktiem par </w:t>
            </w:r>
            <w:r w:rsidR="00000000" w:rsidRPr="00000000" w:rsidDel="00000000">
              <w:rPr>
                <w:rtl w:val="0"/>
              </w:rPr>
              <w:t xml:space="preserve">kārtību, kādā atlīdzināmi ar komandējumiem saistītie izdevumi</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vai daļlaiku, darba vietas aprīkojuma izmaksas ir attiecināmas, ņemot vērā darbinieka iesaistes periodu projektā pret projekta kopējo īstenošanas ilgumu, kā arī  daļlaika proporciju darbam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slodzes proporciju ņemot vērā gan nepilna laika, gan daļlaika gadījumā, bet darbinieka iesaistes periodu projektā – tikai daļlaika gadījumā. Attiecīgi jāprecizē arī informācija anotācijas 9.lpp.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14.2.5. apakšpunktā un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14.2.5. 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transporta pakalpojumu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noma vai transporta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lai nepārprotami saprotams, ka degvielas un sabiedriskā transporta izmaksas sedzamas, piemērojot VI metodiku, savukārt transportlīdzekļa noma un transportlīdzekļa pakalpojuma pirkšana - kā faktiskās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14.2.6.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transporta pakalpojumu izmaksas (maksa par degvielu un maksa par sabiedriskā transporta izmantošanu) attiecināmas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Ir attiecināmas arī transportlīdzekļa (tai skaitā specializētā) nomas vai transporta (tai skaitā specializētā) pakalpojumu pirkšanas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transporta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transportlīdzekļu nomas izmaksu iekļaušanu šajā apakšpunktā, ievērojot to, ka "Vienas vienības izmaksu standarta likmes aprēķina un piemērošanas metodika 1 km izmaksām darbības programmas “Izaugsme un nodarbinātība” un Eiropas Savienības kohēzijas politikas programmas 2021.–2027.gadam  īstenošanai" šādu pozīciju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redakcionāli precizēt, vārdus "transporta izmaksas" aizstājot ar vārdiem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14.2.6. transporta pakalpojumu izmaksas (maksa par degvielu un maksa par sabiedriskā transporta izmantošanu) attiecināmas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Ir attiecināmas arī transportlīdzekļa (tai skaitā specializētā) nomas vai transporta (tai skaitā specializētā) pakalpojumu pirkšanas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projekta informācijas un publicitātes pasākumu izmaksas atbilstoši normatīvajiem aktiem par Eiropas Savienības fondu ieviešanu 2021.–2027. gada plānošanas periodā un Eiropas Savienības fondu 2021.–2027. gada plānošanas perioda un Atveseļošanas fonda komunikācijas un dizaina vadlīnijām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 vārdus "atbilstoši normatīvajiem aktiem par Eiropas Savienības fondu ieviešanu 2021.–2027. gada plānošanas periodā un Eiropas Savienības fondu 2021.–2027. gada plānošanas perioda un Atveseļošanas fonda komunikācijas un dizaina vadlīnijām šo noteikumu 12.7. apakšpunktā minētās atbalstāmās darbības īstenošanai", ievērojot, ka nosacījumi informācijas un publicitātes pasākumu īstenošanai noteikti noteikumu projekta 23.2.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komunikācijas un vizuālās identitātes prasību nodrošināšanas pasākumu izmaksas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citas informatīvo un publicitātes pasākumu īstenošanas izmaksas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šai izmaksu pozīcijai paredzēt limitu, kā arī anotācijā norādīt kādu citu informatīvo un publicitātes pasākumu īstenošana ir atbalstāma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izmaksu pozīcijai nav plānots limits.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14.2.8. citas informatīvo un publicitātes pasākumu īstenošanas izmaksas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 mācību pasākumu organizēšanas izmaksas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minētās atbalstāmās darbības īstenošanai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apakšpunkta beigu daļu svītrot no MK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pasākumu organizēšanas izmaksas šo noteikumu 12.1. apakšpunktā minētās atbalstāmās darbības īstenošanai atbilstoši atbildīgās iestādes apstiprinātajai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 noteikumu projekta 14.2.9.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14.2.9. mācību pasākumu organizēšanas izmaksas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minētās atbalstāmās darbības īstenošanai atbilstoši atbildīgās iestādes apstiprinātajai vienkāršoto izmaksu metodikai;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atbalstāmo darbību ietvaros ir attiecināms pievienotās vērtības nodoklis tiešajām attiecināmajām izmaksām atbilstoši </w:t>
            </w:r>
            <w:r w:rsidR="00000000" w:rsidRPr="00000000" w:rsidDel="00000000">
              <w:rPr>
                <w:rtl w:val="0"/>
              </w:rPr>
              <w:t xml:space="preserve">Eiropas Parlamenta un Padomes 2021. gada 24. jūnija Regulas (ES) 2021/1060</w:t>
            </w:r>
            <w:r w:rsidR="00000000" w:rsidRPr="00000000" w:rsidDel="00000000">
              <w:rPr>
                <w:rtl w:val="0"/>
              </w:rPr>
              <w:t xml:space="preserve"> 64. panta 1. punkta "c" apakšpunkta nosacījumiem, ja tas nav atgūstams atbilstoši normatīvajiem aktiem nodokļu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17. punkta redakciju, svītrojot vārdus "ja tas nav atgūstams atbilstoši normatīvajiem aktiem nodokļu politikas jomā". Vēršam uzmanību, ka atbilstoši Eiropas Parlamenta un Padomes 2021. gada 24. jūnija Regulas (ES) 2021/1060 64. panta 1. punkta "c" apakšpunkta nosacījumiem PVN ir attiecināmas izmaksas projektiem, kuru kopējās izmaksas ir mazākas kā 5 000 000 </w:t>
            </w:r>
            <w:r w:rsidR="00000000" w:rsidRPr="00000000" w:rsidDel="00000000">
              <w:rPr>
                <w:i w:val="1"/>
                <w:rtl w:val="0"/>
              </w:rPr>
              <w:t xml:space="preserve">euro</w:t>
            </w:r>
            <w:r w:rsidR="00000000" w:rsidRPr="00000000" w:rsidDel="00000000">
              <w:rPr>
                <w:rtl w:val="0"/>
              </w:rPr>
              <w:t xml:space="preserve">, savukārt darbībām, kuru kopējās izmaksas ir vismaz 5 000 000 </w:t>
            </w:r>
            <w:r w:rsidR="00000000" w:rsidRPr="00000000" w:rsidDel="00000000">
              <w:rPr>
                <w:i w:val="1"/>
                <w:rtl w:val="0"/>
              </w:rPr>
              <w:t xml:space="preserve">euro </w:t>
            </w:r>
            <w:r w:rsidR="00000000" w:rsidRPr="00000000" w:rsidDel="00000000">
              <w:rPr>
                <w:rtl w:val="0"/>
              </w:rPr>
              <w:t xml:space="preserve">(ieskaitot PVN) tās ir attiecināmas izmaksas gadījumos, kad tas nav atgūstams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 noteikumu projekta 17.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atbalstāmo darbību ietvaros ir attiecināms pievienotās vērtības nodoklis tiešajām attiecināmajām izmaksām atbilstoši </w:t>
            </w:r>
            <w:r w:rsidR="00000000" w:rsidRPr="00000000" w:rsidDel="00000000">
              <w:rPr>
                <w:rtl w:val="0"/>
              </w:rPr>
              <w:t xml:space="preserve">regulas  2021/1060</w:t>
            </w:r>
            <w:r w:rsidR="00000000" w:rsidRPr="00000000" w:rsidDel="00000000">
              <w:rPr>
                <w:rtl w:val="0"/>
              </w:rPr>
              <w:t xml:space="preserve"> 64. panta 1. punkta "c" apakšpunkta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pieejamā maksimālā avansa un starpposma maksājuma kopsumma nepārsniedz 95 procentus no projektam piešķirtā Eiropas Sociālā fonda Plus finansējuma un valsts budžeta līdzfinansējuma kopsummas. Sadarbības iestāde atbilstoši Valsts budžeta līdzekļu plānošanas kārtībai Eiropas Savienības fondu projektu īstenošanai un maksājumu veikšanai 2021.–2027. gada plānošanas periodā izvērtē avansa piešķiršanas pamatojumu un pieņem lēmumu par to, vai atzīt avansa pieprasījumu par pamatotu un vai avansu finansējuma saņēmējam var piešķirt šajos noteikumos noteiktajā maksimālajā apjomā, daļēji, izmaksāt pa daļām vai noraidīt.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22.punktā otro teikumu. Minētais dublē Ministru kabineta 2023.gada 25.aprīļa noteikumu Nr.205 "Valsts budžeta līdzekļu plānošanas kārtība Eiropas Savienības fondu projektu īstenošanai un maksājumu veikšanai 2021.-2027.gada plānošanas periodā" 9.punktā noteikto. Papildus vēršam uzmanību, ka kārība kādā izvērtē avansa maksājumus ir noteikta Ministru kabineta 2023.gada 21.marta noteikumos Nr.135 "Eiropas Savienības fondu projektu pārbaužu veikšanas kārtība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saņēmējam pieejamā maksimālā avansa un starpposma maksājuma kopsumma nepārsniedz 95 procentus no projektam piešķirtā Eiropas Sociālā fonda Plus finansējuma un valsts budžeta līdzfinansējuma kopsummas.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nodrošina informācijas un publicitātes pasākumus saskaņā ar </w:t>
            </w:r>
            <w:r w:rsidR="00000000" w:rsidRPr="00000000" w:rsidDel="00000000">
              <w:rPr>
                <w:rtl w:val="0"/>
              </w:rPr>
              <w:t xml:space="preserve">Eiropas Parlamenta un Padomes 2021. gada 24. jūnija Regulas (ES) 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22.2.apakšpunktu, aizstājot vārdus un skaitļus "un Kārtību, kādā Eiropas Savienības fondu vadībā iesaistītās institūcijas nodrošina šo fondu ieviešanu 2021.–2027. gada plānošanas periodā" ar vārdiem un skaitļiem "un normatīvajiem aktiem, kas nosaka kārtību, kādā Eiropas Savienības fondu vadībā iesaistītās institūcijas nodrošina šo fondu ieviešanu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22.2.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nodrošina komunikācijas un vizuālās identitātes prasību nodrošināšanas pasākumus saskaņā ar </w:t>
            </w:r>
            <w:r w:rsidR="00000000" w:rsidRPr="00000000" w:rsidDel="00000000">
              <w:rPr>
                <w:rtl w:val="0"/>
              </w:rPr>
              <w:t xml:space="preserve">regulas 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informācijas un publicitātes pasākumus saskaņā ar </w:t>
            </w:r>
            <w:r w:rsidR="00000000" w:rsidRPr="00000000" w:rsidDel="00000000">
              <w:rPr>
                <w:rtl w:val="0"/>
              </w:rPr>
              <w:t xml:space="preserve">regulas 2021/1060</w:t>
            </w:r>
            <w:r w:rsidR="00000000" w:rsidRPr="00000000" w:rsidDel="00000000">
              <w:rPr>
                <w:rtl w:val="0"/>
              </w:rPr>
              <w:t xml:space="preserve">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23.2. apakšpunkta redakciju, norādot pilnu regulas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informācijas un publicitātes pasākumus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nodrošina komunikācijas un vizuālās identitātes prasību nodrošināšanas pasākumus saskaņā ar </w:t>
            </w:r>
            <w:r w:rsidR="00000000" w:rsidRPr="00000000" w:rsidDel="00000000">
              <w:rPr>
                <w:rtl w:val="0"/>
              </w:rPr>
              <w:t xml:space="preserve">regulas 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nodrošina horizontālā principa "Vienlīdzība, iekļaušana, nediskriminācija un pamattiesību ievērošana" vispārīgās un specifiskās darbības, kas veicina vienlīdzību, iekļaušanu, nediskrimināciju un pamattiesību ievērošanu, kā arī nodrošina rādītāju uzkrāšanu un 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un saskaņā ar Labklājības ministrijas izstrādātajām vadlīnijām "Horizontālais princips “Vienlīdzība, iekļaušana, nediskriminācija un pamattiesību ievērošana” vadlīnijas īstenošanai un uzraudzībai (2021-2027)" pasākumā ir jānodrošina vismaz 1 horizontālā principa "Vienlīdzība, iekļaušana, nediskriminācija un pamattiesību ievērošana" rādītājs. Lūdzam MK noteikumu projektā iekļaut šo rādītāju attiecīgi papildinot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informāciju par plānotajām vismaz 3 vispārīgajām un 3 specifiskajām darbībām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lūgums skatīt pie Labklājības ministrijas iebilduma Nr.20.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8.1.9., 8.1.10. un 8.2. sadaļas papildinātas ar horizontālā principa “Vienlīdzība, iekļaušana, nediskriminācija un pamattiesību ievērošana” darbību un rādītāju piemēriem atbilstoši projektu iesniegumu vērtēšanas kritēriju metodikā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īsteno vismaz trīs vispārīgās un vismaz trīs specifiskās darbības, kā arī nodrošina datu uzkrāšanu un ziņošanu par vismaz vienu rādītāju, kas veicina horizontālā principa "Vienlīdzība, iekļaušana, nediskriminācija un pamattiesību ievērošana"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teikumu, kas sākas ar vārdiem "Pasākuma ietvaros plānotais un pieejamais kopējais finansējums ir 1 740 000 </w:t>
            </w:r>
            <w:r w:rsidR="00000000" w:rsidRPr="00000000" w:rsidDel="00000000">
              <w:rPr>
                <w:i w:val="1"/>
                <w:rtl w:val="0"/>
              </w:rPr>
              <w:t xml:space="preserve">euro </w:t>
            </w:r>
            <w:r w:rsidR="00000000" w:rsidRPr="00000000" w:rsidDel="00000000">
              <w:rPr>
                <w:rtl w:val="0"/>
              </w:rPr>
              <w:t xml:space="preserve">[..]", svītrojot vārdu "pieejamais", ievērojot to, ka 1 740 000 </w:t>
            </w:r>
            <w:r w:rsidR="00000000" w:rsidRPr="00000000" w:rsidDel="00000000">
              <w:rPr>
                <w:i w:val="1"/>
                <w:rtl w:val="0"/>
              </w:rPr>
              <w:t xml:space="preserve">euro </w:t>
            </w:r>
            <w:r w:rsidR="00000000" w:rsidRPr="00000000" w:rsidDel="00000000">
              <w:rPr>
                <w:rtl w:val="0"/>
              </w:rPr>
              <w:t xml:space="preserve">ir 4.3.4.4. pasākumam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redakcionāli papildināt, ka tiks izstrādāta projekta vadības un īstenošanas personāla atlīdzības izmaksu metodika, lai salāgotu redakciju 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 veselības pārbaužu izmaksas neietilpst personāla atlīdzības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noteiktajam avansa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"Latvijas normatīvie akti  nosaka, ka Latvijas trīspusējā sociālā dialoga ietvaros sociālie partneri ir Latvijas Brīvo arodbiedrību savienība (turpmāk – LBAS) un Latvijas Darba devēju konfederācija (turpmāk – LDDK)." Vēršam uzmanību uz to, ka parasti ar likumdošana apzīmē procesu. Līdz ar to, iespējams, ka korektāk šaja teikumā būtu minēt, ka "Latvijas nomatīvie akti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anotācijas 1.3.apakšsadaļā vienu Eiropas sociālā fonda Plus, Eiropas Savienības u.c. apzīmējumu, proti, pilno nosaukumu vai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pilno Eiropas Parlamenta un Padomes Direktīvas (ES) 2022/2041 nosaukumu un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norādīt pilno NVO un MK nosaukumu, ņemot vērā, ka saīsinājums netika atrunāts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jau ir iekļauta informācija par tiesību akta ietekmi uz sociālajiem partneriem, kas šajā gadījumā ir finansējuma saņēmēji. Esošā redakcija papildināta ar vārdiem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pirmajā teikumā precizēt norādīto valsts budžeta finansējuma daļu, ņemot vērā noteikumu projekta 7.1.punktā norādīto, ka Projektu iesniegumos pasākuma īstenošanai kopējo pasākuma pieejamo finansējumu plāno ne vairāk kā 1 465 472 euro apmērā, tai skaitā Eiropas Sociālā fonda Plus finansējumu - 1 245 651 euro apmērā un </w:t>
            </w:r>
            <w:r w:rsidR="00000000" w:rsidRPr="00000000" w:rsidDel="00000000">
              <w:rPr>
                <w:u w:val="single"/>
                <w:rtl w:val="0"/>
              </w:rPr>
              <w:t xml:space="preserve">valsts budžeta finansējumu - 219 821 euro apmērā.</w:t>
            </w:r>
            <w:r w:rsidR="00000000" w:rsidRPr="00000000" w:rsidDel="00000000">
              <w:rPr>
                <w:rtl w:val="0"/>
              </w:rPr>
              <w:t xml:space="preserve"> Papildus lūdzam svītrot pēdējo rindkopu, ņemot vērā, ka avansa maksājumiem nepieciešamais finansējums tiks nodrošināts pasākumam plānotā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veikti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 ietvaros īstenotie projekti un minētās atbalstāmās darbības veicinās Eiropas Savienības stratēģijā Baltijas jūras reģionam (ESSBJR) noteikto mērķu sasniegšanu. Vēršam uzmanību, ka atbilstoši Programmā norādītajam 4.3.4.SAM ietvaros plānots īstenot darbības, kas kopumā sniegs ieguldījumu dzimumu līdztiesības principa kā ESSBJR caurvijoša principa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23-TA-769</w:t>
    </w:r>
    <w:r>
      <w:br/>
    </w:r>
    <w:r w:rsidR="00000000" w:rsidRPr="00000000" w:rsidDel="00000000">
      <w:rPr>
        <w:rtl w:val="0"/>
      </w:rPr>
      <w:t xml:space="preserve">22.08.2023. 17.21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23-TA-769</w:t>
    </w:r>
    <w:r>
      <w:br/>
    </w:r>
    <w:r w:rsidR="00000000" w:rsidRPr="00000000" w:rsidDel="00000000">
      <w:rPr>
        <w:rtl w:val="0"/>
      </w:rPr>
      <w:t xml:space="preserve">22.08.2023. 17.21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Izziņa_23-TA-769.docx</dc:title>
</cp:coreProperties>
</file>

<file path=docProps/custom.xml><?xml version="1.0" encoding="utf-8"?>
<Properties xmlns="http://schemas.openxmlformats.org/officeDocument/2006/custom-properties" xmlns:vt="http://schemas.openxmlformats.org/officeDocument/2006/docPropsVTypes"/>
</file>