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projektos, kas apstiprināti tāda atklāta projektu konkursa ietvaros, kurā vienam projektam pieejamā maksimālā summa nepārsniedz 40 000 </w:t>
            </w:r>
            <w:r w:rsidR="00000000" w:rsidRPr="00000000" w:rsidDel="00000000">
              <w:rPr>
                <w:i w:val="1"/>
                <w:rtl w:val="0"/>
              </w:rPr>
              <w:t xml:space="preserve">euro</w:t>
            </w:r>
            <w:r w:rsidR="00000000" w:rsidRPr="00000000" w:rsidDel="00000000">
              <w:rPr>
                <w:rtl w:val="0"/>
              </w:rPr>
              <w:t xml:space="preserve">, aģentūra 10 darbdienu laikā pēc līguma noslēgšanas veic maksājumu 100 % apmērā no projektam piešķirtā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summas palielinājumam no 10 000 euro uz 40 000 euro projektiem, kuriem var piešķirt finansējumu 100% apmērā 10 darba dienu laikā no līguma noslēgšanas dienas, vienlaikus veicot risku izvērtējumu, norādot, cik projektiem līdz šim ir bijušas neattiecināmās izmaksas un gadījumi, kad jāveic neizlietotā finansējuma atmaksa, lai izvērtētu, cik lielu risku tas rada valsts budžetam, ņemto vērā, ka, veicot maksājumu 100% apmērā no projektam piešķirtā finansējuma, pēc būtības tiek samazināta iespēja atgūt neatbilstoši izlietoto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sadaļa “Risinājuma apraksts”, norādot, ka finansējuma sliekšņa apmērs – 40 000,00 EUR ir izvēlēts atbilstoši līdzšinējai ministrijas praksei attiecībā uz valsts budžeta līdzekļu piešķiršanu sporta programmu un pasākumu atbalstam, un ir optimāls un piemērojams arī attiecībā uz programmas projektiem. Šāds finansējuma slieksnis ir noteikts ministrijas nolikumā “Sporta programmu un pasākumu atbalstam konkursa organizēšanas un valsts finansējuma piešķiršanas kārtība un nosacījumi”, kas ir izstrādāts un apstiprināts saskaņā ar Ministru kabineta 2024. gada 9. janvāra noteikumu Nr. 27 “Sporta organizāciju finansēšanas kārtība”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 līdz 2024. gadam programmas ietvaros tika apstiprināti 282 projekti. Šajā laika posmā par neattiecināmām tika atzītas izmaksas 5889,18 EUR apmērā, no kurām visas izmaksas tika atgūtas, projekta īstenotājām tās atmaksājot aģentūrai (detalizēta informācija ir norādīta anotācijas tabulā Nr.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projektos, kas apstiprināti tāda atklāta projektu konkursa ietvaros, kurā vienam projektam pieejamā maksimālā summa nepārsniedz 40 000 </w:t>
            </w:r>
            <w:r w:rsidR="00000000" w:rsidRPr="00000000" w:rsidDel="00000000">
              <w:rPr>
                <w:i w:val="1"/>
                <w:rtl w:val="0"/>
              </w:rPr>
              <w:t xml:space="preserve">euro</w:t>
            </w:r>
            <w:r w:rsidR="00000000" w:rsidRPr="00000000" w:rsidDel="00000000">
              <w:rPr>
                <w:rtl w:val="0"/>
              </w:rPr>
              <w:t xml:space="preserve">, aģentūra 10 darbdienu laikā pēc līguma noslēgšanas veic maksājumu 100 % apmērā no projektam piešķirtā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projektos, kas apstiprināti tāda atklāta projektu konkursa ietvaros, kurā vienam projektam pieejamā maksimālā summa nepārsniedz 40 000 </w:t>
            </w:r>
            <w:r w:rsidR="00000000" w:rsidRPr="00000000" w:rsidDel="00000000">
              <w:rPr>
                <w:i w:val="1"/>
                <w:rtl w:val="0"/>
              </w:rPr>
              <w:t xml:space="preserve">euro</w:t>
            </w:r>
            <w:r w:rsidR="00000000" w:rsidRPr="00000000" w:rsidDel="00000000">
              <w:rPr>
                <w:rtl w:val="0"/>
              </w:rPr>
              <w:t xml:space="preserve">, aģentūra 10 darbdienu laikā pēc līguma noslēgšanas veic maksājumu 100 % apmērā no projektam piešķirtā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sniegts skaidrojums, ka projekts izstrādāts ar mērķi samazināt administratīvo slogu programmas atklāto projektu konkursu organizēšanai. Pašlaik Ministru kabineta 2013. gada 5. novembra noteikumu Nr. 1243 "Kārtība, kādā piešķir valsts budžeta finansējumu, kas paredzēts jauniešu iniciatīvas un līdzdalības veicināšanai lēmumu pieņemšanā un sabiedriskajā dzīvē, darbam ar jaunatni un jaunatnes organizāciju darbības atbalstam" 32.4. apakšpunkts paredz, ka projektos, kas apstiprināti tāda atklāta projektu konkursa ietvaros, kurā vienam projektam pieejamā maksimālā summa </w:t>
            </w:r>
            <w:r w:rsidR="00000000" w:rsidRPr="00000000" w:rsidDel="00000000">
              <w:rPr>
                <w:u w:val="single"/>
                <w:rtl w:val="0"/>
              </w:rPr>
              <w:t xml:space="preserve">nepārsniedz 10 000 euro</w:t>
            </w:r>
            <w:r w:rsidR="00000000" w:rsidRPr="00000000" w:rsidDel="00000000">
              <w:rPr>
                <w:rtl w:val="0"/>
              </w:rPr>
              <w:t xml:space="preserve">, aģentūra 10 darbdienu laikā pēc līguma noslēgšanas veic maksājumu 100 % apmērā no projektam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minēto summu mainīt no 10 000 eur uz 40 000 eur. Lūdzam projekta anotācijā sniegt skaidrojumu, kāds ir pamatojums minētā kritērija maiņai un kādēļ izvēlēta tieši šāda summa.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sadaļa “Risinājuma apraksts”, norādot, ka finansējuma sliekšņa apmērs – 40 000,00 EUR ir izvēlēts atbilstoši līdzšinējai ministrijas praksei attiecībā uz valsts budžeta līdzekļu piešķiršanu sporta programmu un pasākumu atbalstam, un ir optimāls un piemērojams arī attiecībā uz programmas projektiem. Šāds finansējuma slieksnis ir noteikts ministrijas nolikumā “Sporta programmu un pasākumu atbalstam konkursa organizēšanas un valsts finansējuma piešķiršanas kārtība un nosacījumi”, kas ir izstrādāts un apstiprināts saskaņā ar Ministru kabineta 2024. gada 9. janvāra noteikumu Nr. 27 “Sporta organizāciju finansēšanas kārtība”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projektos, kas apstiprināti tāda atklāta projektu konkursa ietvaros, kurā vienam projektam pieejamā maksimālā summa nepārsniedz 40 000 </w:t>
            </w:r>
            <w:r w:rsidR="00000000" w:rsidRPr="00000000" w:rsidDel="00000000">
              <w:rPr>
                <w:i w:val="1"/>
                <w:rtl w:val="0"/>
              </w:rPr>
              <w:t xml:space="preserve">euro</w:t>
            </w:r>
            <w:r w:rsidR="00000000" w:rsidRPr="00000000" w:rsidDel="00000000">
              <w:rPr>
                <w:rtl w:val="0"/>
              </w:rPr>
              <w:t xml:space="preserve">, aģentūra 10 darbdienu laikā pēc līguma noslēgšanas veic maksājumu 100 % apmērā no projektam piešķirtā finansējuma.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25-TA-1338</w:t>
    </w:r>
    <w:r>
      <w:br/>
    </w:r>
    <w:r w:rsidR="00000000" w:rsidRPr="00000000" w:rsidDel="00000000">
      <w:rPr>
        <w:rtl w:val="0"/>
      </w:rPr>
      <w:t xml:space="preserve">02.10.2025. 08.59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25-TA-1338</w:t>
    </w:r>
    <w:r>
      <w:br/>
    </w:r>
    <w:r w:rsidR="00000000" w:rsidRPr="00000000" w:rsidDel="00000000">
      <w:rPr>
        <w:rtl w:val="0"/>
      </w:rPr>
      <w:t xml:space="preserve">02.10.2025. 08.59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Izziņa_25-TA-1338.docx</dc:title>
</cp:coreProperties>
</file>

<file path=docProps/custom.xml><?xml version="1.0" encoding="utf-8"?>
<Properties xmlns="http://schemas.openxmlformats.org/officeDocument/2006/custom-properties" xmlns:vt="http://schemas.openxmlformats.org/officeDocument/2006/docPropsVTypes"/>
</file>