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6E99" w:rsidRDefault="00CF48E5">
      <w:pPr>
        <w:jc w:val="center"/>
      </w:pPr>
      <w:r>
        <w:rPr>
          <w:b/>
        </w:rPr>
        <w:t>Rīga</w:t>
      </w:r>
    </w:p>
    <w:p w:rsidR="00196E99" w:rsidRDefault="00CF48E5">
      <w:r>
        <w:t>10.08.2021.</w:t>
      </w:r>
      <w:r>
        <w:tab/>
      </w:r>
      <w:r>
        <w:tab/>
      </w:r>
      <w:r>
        <w:tab/>
      </w:r>
      <w:r>
        <w:tab/>
      </w:r>
      <w:r>
        <w:tab/>
      </w:r>
      <w:r>
        <w:tab/>
      </w:r>
      <w:r>
        <w:tab/>
      </w:r>
      <w:r>
        <w:tab/>
      </w:r>
      <w:r>
        <w:tab/>
        <w:t>Nr. 1/6</w:t>
      </w:r>
    </w:p>
    <w:p w:rsidR="00196E99" w:rsidRDefault="00196E99"/>
    <w:p w:rsidR="00196E99" w:rsidRDefault="00CF48E5">
      <w:pPr>
        <w:jc w:val="right"/>
      </w:pPr>
      <w:r>
        <w:t>Izglītības un zinātnes ministrijai</w:t>
      </w:r>
    </w:p>
    <w:p w:rsidR="00196E99" w:rsidRDefault="00CF48E5">
      <w:r>
        <w:rPr>
          <w:b/>
        </w:rPr>
        <w:t>Par Ministru kabineta noteikumu projektu</w:t>
      </w:r>
    </w:p>
    <w:p w:rsidR="00196E99" w:rsidRDefault="00CF48E5">
      <w:pPr>
        <w:rPr>
          <w:b/>
        </w:rPr>
      </w:pPr>
      <w:r>
        <w:rPr>
          <w:b/>
        </w:rPr>
        <w:t xml:space="preserve">“Ministru kabineta virzītu valsts augstskolas </w:t>
      </w:r>
    </w:p>
    <w:p w:rsidR="00196E99" w:rsidRDefault="00CF48E5">
      <w:pPr>
        <w:rPr>
          <w:b/>
        </w:rPr>
      </w:pPr>
      <w:r>
        <w:rPr>
          <w:b/>
        </w:rPr>
        <w:t>padomes locekļu atlases, izvirzīšanas un atsaukšanas kārtība”</w:t>
      </w:r>
    </w:p>
    <w:p w:rsidR="00196E99" w:rsidRDefault="00196E99">
      <w:pPr>
        <w:ind w:firstLine="720"/>
        <w:jc w:val="both"/>
      </w:pPr>
    </w:p>
    <w:p w:rsidR="00196E99" w:rsidRDefault="00CF48E5">
      <w:pPr>
        <w:ind w:firstLine="720"/>
        <w:jc w:val="both"/>
      </w:pPr>
      <w:r>
        <w:t>Latvijas Neatkarīgā izglītības un zinātnes apvienība (turpmāk – apvienība) ir izskatījusi sabiedriskajā apspriešanā izsludināto Ministru kabineta noteikumu projektu “Ministru kabineta virzītu valsts augstskolas padomes locekļu atlases, izvirzīšanas un atsaukšanas kārtība”, piesaka savu līdzdalību projekta apspriešanā un izsaka šādus iebildumus.</w:t>
      </w:r>
    </w:p>
    <w:p w:rsidR="00196E99" w:rsidRDefault="00196E99">
      <w:pPr>
        <w:ind w:firstLine="720"/>
        <w:jc w:val="both"/>
      </w:pPr>
    </w:p>
    <w:p w:rsidR="00196E99" w:rsidRDefault="00CF48E5">
      <w:pPr>
        <w:ind w:firstLine="720"/>
        <w:jc w:val="both"/>
      </w:pPr>
      <w:r>
        <w:t xml:space="preserve">1. Noteikumu projekta 7.punkts nosaka, ka atbildīgā ministrija izveido kandidātu atlases un novērtēšanas procesa nodrošināšanai pastāvīgu atlases komisiju iesaistot tajā arī Augstskolu likumā noteiktos sabiedrības pārstāvjus un izstrādā augstskolas padomes kandidātu atlases komisijas nolikumu (turpmāk – atlases komisijas nolikums). </w:t>
      </w:r>
    </w:p>
    <w:p w:rsidR="00196E99" w:rsidRDefault="00196E99">
      <w:pPr>
        <w:ind w:firstLine="720"/>
        <w:jc w:val="both"/>
      </w:pPr>
    </w:p>
    <w:p w:rsidR="00196E99" w:rsidRDefault="00CF48E5">
      <w:pPr>
        <w:ind w:firstLine="720"/>
        <w:jc w:val="both"/>
      </w:pPr>
      <w:r>
        <w:t xml:space="preserve">Apvienība uzskata, ka nav pamatoti veidot vienu atlases komisiju visu augstskolu padomju locekļu kandidātu izvērtēšanai. Apvienība norāda, ka katrai augstskolai ir sava specifika, kas prasa savādāku komisijas sastāvu. Augstskolu likuma grozījumi paredz, ka minēto padomes locekļu atlases procesā tiek iesaistīta sabiedrība, tai skaitā augstskolu absolventu organizācijas, profilam atbilstošās nozares asociācijas un darba devēji, akadēmisko, pētniecības un radošo organizāciju pārstāvji, personas ar starptautiski nozīmīgiem sasniegumiem zinātnē, mākslās vai uzņēmējdarbībā, nozaru ministriju un pašvaldību pārstāvji. Atbilstoši attiecīgās valsts dibinātās augstskolas specifikai arī jāiesaista šīs augstskolas specifikai atbilstošie sabiedrības pārstāvji. </w:t>
      </w:r>
    </w:p>
    <w:p w:rsidR="00196E99" w:rsidRDefault="00CF48E5">
      <w:pPr>
        <w:ind w:firstLine="720"/>
        <w:jc w:val="both"/>
      </w:pPr>
      <w:r>
        <w:t xml:space="preserve">Ja pastāv viena atlases komisija, tad sabiedrības pārstāvju iesaiste attiecīgās augstskolas padomes locekļu </w:t>
      </w:r>
      <w:proofErr w:type="spellStart"/>
      <w:r>
        <w:t>atalses</w:t>
      </w:r>
      <w:proofErr w:type="spellEnd"/>
      <w:r>
        <w:t xml:space="preserve"> procesā netiks pilnvērtīgi nodrošināta, jo attiecīgās augstskolas specifikai atbilstošiem sabiedrības pārstāvjiem iespējas piedalīties padomes kandidātu atlasē atlases komisijas sastāvā nebūs iespējams, piemēram, attiecīgās augstskolas absolventu organizācijai, nozares, kurā attiecīgā augstskola īsteno studiju programmas, asociācijām un darba devējiem. Līdz ar to ir nepieciešams noteikt, ka katras augstskolas padomes locekļu atlasei tiek izveidota sava atlases komisija.</w:t>
      </w:r>
    </w:p>
    <w:p w:rsidR="00196E99" w:rsidRDefault="00196E99">
      <w:pPr>
        <w:ind w:firstLine="720"/>
        <w:jc w:val="both"/>
      </w:pPr>
    </w:p>
    <w:p w:rsidR="00196E99" w:rsidRDefault="00CF48E5">
      <w:pPr>
        <w:ind w:firstLine="720"/>
        <w:jc w:val="both"/>
      </w:pPr>
      <w:r>
        <w:t>2.  Noteikumu 9.punkts nosaka, ka atlases komisijas locekļu skaitlisko sastāvu, kā arī sabiedrības pārstāvību atlases komisijā atbilstoši Augstskolu likumā noteiktajam nosaka atlases komisijas nolikumā. Atbildīgā ministrija nodrošina, ka atlases komisijas sastāvā ir iekļauti arī:</w:t>
      </w:r>
    </w:p>
    <w:p w:rsidR="00196E99" w:rsidRDefault="00CF48E5">
      <w:pPr>
        <w:ind w:firstLine="720"/>
        <w:jc w:val="both"/>
      </w:pPr>
      <w:r>
        <w:t>9.1. balsstiesīgi locekļi no:</w:t>
      </w:r>
    </w:p>
    <w:p w:rsidR="00196E99" w:rsidRDefault="00CF48E5">
      <w:pPr>
        <w:ind w:firstLine="720"/>
        <w:jc w:val="both"/>
      </w:pPr>
      <w:r>
        <w:t>9.1.1. atbildīgās ministrijas;</w:t>
      </w:r>
    </w:p>
    <w:p w:rsidR="00196E99" w:rsidRDefault="00CF48E5">
      <w:pPr>
        <w:ind w:firstLine="720"/>
        <w:jc w:val="both"/>
      </w:pPr>
      <w:r>
        <w:t>9.1.3. Izglītības un zinātnes ministrijas;</w:t>
      </w:r>
    </w:p>
    <w:p w:rsidR="00196E99" w:rsidRDefault="00CF48E5">
      <w:pPr>
        <w:ind w:firstLine="720"/>
        <w:jc w:val="both"/>
      </w:pPr>
      <w:r>
        <w:t>9.2. neatkarīgs novērotājs (bez balsstiesībām);</w:t>
      </w:r>
    </w:p>
    <w:p w:rsidR="00196E99" w:rsidRDefault="00CF48E5">
      <w:pPr>
        <w:ind w:firstLine="720"/>
        <w:jc w:val="both"/>
      </w:pPr>
      <w:r>
        <w:t>9.3. eksperts valsts augstskolas attīstības stratēģijā noteiktajā stratēģiskās specializācijas jomā (bez balsstiesībām) (turpmāk – nozares eksperts), ja nepieciešams.</w:t>
      </w:r>
    </w:p>
    <w:p w:rsidR="00196E99" w:rsidRDefault="00196E99">
      <w:pPr>
        <w:ind w:firstLine="720"/>
        <w:jc w:val="both"/>
      </w:pPr>
    </w:p>
    <w:p w:rsidR="00196E99" w:rsidRDefault="00CF48E5">
      <w:pPr>
        <w:ind w:firstLine="720"/>
        <w:jc w:val="both"/>
      </w:pPr>
      <w:r>
        <w:t xml:space="preserve">Apvienība uzskata, ka minētajā punktā ir jānosaka, ka attiecīgās augstskolas atlases komisijas sastāvā ir jāiekļauj arī Augstskolu likumā noteiktie atlases procesā iesaistītie sabiedrības pārstāvji. Ja tas netiek noteikts, tad var pastāvēt situācija, ka attiecīgās augstskolas </w:t>
      </w:r>
      <w:r>
        <w:lastRenderedPageBreak/>
        <w:t>atlases komisijā ar balsstiesībām saskaņā ar atbildīgās ministrijas apstiprinātu atlases komisijas nolikumu nav neviena sabiedrības pārstāvja vai arī tie nav pietiekami pārstāvēti, kas nozīmē, ka sabiedrība nepiedalās padomes locekļu kandidātu izvērtēšanā un attiecīgi nav pilnībā iesaistīta atlases procesā. Lai nodrošinātu pilnvērtīgu sabiedrības pārstāvju iesaisti atlases komisijā, pirms atlases komisijas izveides atbildīgajai ministrijai būtu jāpublicē informācija par šādas atlases komisijas izveidi un jādod laiks sabiedrībai (Augstskolu likumā noteiktajai padomes locekļu atlasēs iesaistītajai sabiedrības daļai)  deleģēt savus pārstāvjus šajā attiecīgās valsts dibinātās augstskolas padomes locekļu kandidātu atlases komisijā.</w:t>
      </w:r>
    </w:p>
    <w:p w:rsidR="00196E99" w:rsidRDefault="00196E99">
      <w:pPr>
        <w:ind w:firstLine="720"/>
        <w:jc w:val="both"/>
      </w:pPr>
    </w:p>
    <w:p w:rsidR="00196E99" w:rsidRDefault="00CF48E5">
      <w:pPr>
        <w:ind w:firstLine="720"/>
        <w:jc w:val="both"/>
      </w:pPr>
      <w:r>
        <w:t>Ņemot vērā minēto, nepieciešams izteikt punktu šādā redakcijā:</w:t>
      </w:r>
    </w:p>
    <w:p w:rsidR="00196E99" w:rsidRDefault="00CF48E5">
      <w:pPr>
        <w:ind w:firstLine="720"/>
        <w:jc w:val="both"/>
      </w:pPr>
      <w:r>
        <w:t>“9. Atbildīgā ministrija nodrošina, ka atlases komisijas sastāvā ir iekļauti:</w:t>
      </w:r>
    </w:p>
    <w:p w:rsidR="00196E99" w:rsidRDefault="00CF48E5">
      <w:pPr>
        <w:ind w:firstLine="720"/>
        <w:jc w:val="both"/>
      </w:pPr>
      <w:r>
        <w:t>9.1. balsstiesīgi locekļi no:</w:t>
      </w:r>
    </w:p>
    <w:p w:rsidR="00196E99" w:rsidRDefault="00CF48E5">
      <w:pPr>
        <w:ind w:firstLine="720"/>
        <w:jc w:val="both"/>
      </w:pPr>
      <w:r>
        <w:t>9.1.1. atbildīgās ministrijas;</w:t>
      </w:r>
    </w:p>
    <w:p w:rsidR="00196E99" w:rsidRDefault="00CF48E5">
      <w:pPr>
        <w:ind w:firstLine="720"/>
        <w:jc w:val="both"/>
      </w:pPr>
      <w:r>
        <w:t>9.1.2. Izglītības un zinātnes ministrijas;</w:t>
      </w:r>
    </w:p>
    <w:p w:rsidR="00196E99" w:rsidRDefault="00CF48E5">
      <w:pPr>
        <w:ind w:firstLine="720"/>
        <w:jc w:val="both"/>
      </w:pPr>
      <w:r>
        <w:t xml:space="preserve">9.1.3. Augstskolu likumā noteiktajām padomes locekļu atlasē iesaistītajām sabiedrības grupām, kuras ir izteikušas vēlmi iesaistīties attiecīgās valsts dibinātās augstskolas padomes locekļu atlasē; </w:t>
      </w:r>
    </w:p>
    <w:p w:rsidR="00196E99" w:rsidRDefault="00CF48E5">
      <w:pPr>
        <w:ind w:firstLine="720"/>
        <w:jc w:val="both"/>
      </w:pPr>
      <w:r>
        <w:t>9.2. neatkarīgs novērotājs (bez balsstiesībām);</w:t>
      </w:r>
    </w:p>
    <w:p w:rsidR="00196E99" w:rsidRDefault="00CF48E5">
      <w:pPr>
        <w:ind w:firstLine="720"/>
        <w:jc w:val="both"/>
      </w:pPr>
      <w:r>
        <w:t>9.3. eksperts valsts augstskolas attīstības stratēģijā noteiktajā stratēģiskās specializācijas jomā (bez balsstiesībām) (turpmāk – nozares eksperts), ja nepieciešams.”.</w:t>
      </w:r>
    </w:p>
    <w:p w:rsidR="00196E99" w:rsidRDefault="00196E99">
      <w:pPr>
        <w:ind w:firstLine="720"/>
        <w:jc w:val="both"/>
      </w:pPr>
    </w:p>
    <w:p w:rsidR="00196E99" w:rsidRDefault="00CF48E5">
      <w:pPr>
        <w:ind w:firstLine="720"/>
        <w:jc w:val="both"/>
      </w:pPr>
      <w:r>
        <w:t>3. Noteikumu 14.punkts nosaka, ka atbildīgā ministrija, izstrādājot kandidātu atlases nolikumu:</w:t>
      </w:r>
    </w:p>
    <w:p w:rsidR="00196E99" w:rsidRDefault="00CF48E5">
      <w:pPr>
        <w:ind w:firstLine="720"/>
        <w:jc w:val="both"/>
      </w:pPr>
      <w:r>
        <w:t xml:space="preserve">14.1. var noteikt </w:t>
      </w:r>
      <w:r>
        <w:rPr>
          <w:u w:val="single"/>
        </w:rPr>
        <w:t>citas prasības kandidātam</w:t>
      </w:r>
      <w:r>
        <w:t>, tostarp arī ārvalsts kandidātam, ievērojot Augstskolu likumā noteiktās prasības augstskolas padomes locekļiem un šo noteikumu 16.punktā noteiktās prasības kandidātam;</w:t>
      </w:r>
    </w:p>
    <w:p w:rsidR="00196E99" w:rsidRDefault="00CF48E5">
      <w:pPr>
        <w:ind w:firstLine="720"/>
        <w:jc w:val="both"/>
      </w:pPr>
      <w:r>
        <w:t xml:space="preserve">14.2. var noteikt </w:t>
      </w:r>
      <w:r>
        <w:rPr>
          <w:u w:val="single"/>
        </w:rPr>
        <w:t>citas kompetences</w:t>
      </w:r>
      <w:r>
        <w:t xml:space="preserve">,  ievērojot šo noteikumu 19.punktā noteiktās kompetences, kandidāta profesionālās pieredzes jomu (turpmāk – pieredzes jomas) novērtēšanā; </w:t>
      </w:r>
    </w:p>
    <w:p w:rsidR="00196E99" w:rsidRDefault="00CF48E5">
      <w:pPr>
        <w:ind w:firstLine="720"/>
        <w:jc w:val="both"/>
      </w:pPr>
      <w:r>
        <w:t xml:space="preserve">14.3. var noteikt </w:t>
      </w:r>
      <w:r>
        <w:rPr>
          <w:u w:val="single"/>
        </w:rPr>
        <w:t>citas pieredzes jomas</w:t>
      </w:r>
      <w:r>
        <w:t>, ievērojot šo noteikumu 18. punktā noteiktās pieredzes jomas, kandidāta kompetenču novērtēšanai.</w:t>
      </w:r>
    </w:p>
    <w:p w:rsidR="00196E99" w:rsidRDefault="00196E99">
      <w:pPr>
        <w:ind w:firstLine="720"/>
        <w:jc w:val="both"/>
      </w:pPr>
    </w:p>
    <w:p w:rsidR="00196E99" w:rsidRDefault="00CF48E5">
      <w:pPr>
        <w:ind w:firstLine="720"/>
        <w:jc w:val="both"/>
      </w:pPr>
      <w:r>
        <w:t>Apvienība norāda, ka nav pieļaujams, ka kandidātu atlases nolikumā nosaka vēl citas prasības, kompetences un pieredzes jomas kandidāta izvērtēšanā, kuras nav noteiktas šajos noteikumos. Tas rada situāciju, ka atsevišķas prasības, kompetences, pieredzes jomas var tikt noteiktas tādas, lai dotu kādas priekšrocības kādam padomes locekļa kandidātam. Apvienība pieļauj, ka ar šiem apakšpunktiem bija mēģināts atrunāt specifiskās prasības sakarā ar attiecīgo valsts dibināto augstskolu specifiku, tomēr apvienība uzskata, ka šādām citām prasībām, kompetencēm un pieredzes jomām pēc iespējas būtu jābūt konkrēti atrunātām šajos noteikumos.</w:t>
      </w:r>
    </w:p>
    <w:p w:rsidR="00196E99" w:rsidRDefault="00196E99">
      <w:pPr>
        <w:ind w:firstLine="720"/>
        <w:jc w:val="both"/>
      </w:pPr>
    </w:p>
    <w:p w:rsidR="00196E99" w:rsidRDefault="00CF48E5">
      <w:pPr>
        <w:tabs>
          <w:tab w:val="left" w:pos="1134"/>
        </w:tabs>
        <w:ind w:firstLine="709"/>
        <w:jc w:val="both"/>
      </w:pPr>
      <w:r>
        <w:t>4. Noteikumu 14.6.apakšpunkts paredz, ka kandidātu atlases nolikumā atbildīgā ministrija  nosaka citus kandidātu novērtēšanas kārtības noteikumus, ievērojot šajos noteikumos noteikto.</w:t>
      </w:r>
    </w:p>
    <w:p w:rsidR="00196E99" w:rsidRDefault="00CF48E5">
      <w:pPr>
        <w:tabs>
          <w:tab w:val="left" w:pos="1134"/>
        </w:tabs>
        <w:ind w:firstLine="709"/>
        <w:jc w:val="both"/>
      </w:pPr>
      <w:r>
        <w:t>Apvienība uzskata, ka minētā norma ir pārāk plaša un paredz lielas atkāpes no šajos noteikumos noteiktā novērtēšanas procesa. Līdz ar to nepieciešams šo normu izslēgt.</w:t>
      </w:r>
    </w:p>
    <w:p w:rsidR="00196E99" w:rsidRDefault="00196E99">
      <w:pPr>
        <w:tabs>
          <w:tab w:val="left" w:pos="1134"/>
        </w:tabs>
        <w:ind w:firstLine="709"/>
        <w:jc w:val="both"/>
      </w:pPr>
    </w:p>
    <w:p w:rsidR="00196E99" w:rsidRDefault="00CF48E5">
      <w:pPr>
        <w:tabs>
          <w:tab w:val="left" w:pos="1134"/>
        </w:tabs>
        <w:ind w:firstLine="709"/>
        <w:jc w:val="both"/>
      </w:pPr>
      <w:r>
        <w:t>5. Noteikumu projekta 20.punkts nosaka, ka valsts augstskola rakstiski paziņo atbildīgajai ministrijai par nepieciešamību Ministru kabineta virzīta sabiedrības pārstāvja dalību darbam  augstskolas padomē atbilstoši Augstskolu likumā noteiktajam sabiedrības pārstāvju skaitam augstskolas padomē, ievērojot valsts augstskolas tipu.</w:t>
      </w:r>
    </w:p>
    <w:p w:rsidR="00196E99" w:rsidRDefault="00196E99">
      <w:pPr>
        <w:tabs>
          <w:tab w:val="left" w:pos="1134"/>
        </w:tabs>
        <w:ind w:firstLine="709"/>
        <w:jc w:val="both"/>
      </w:pPr>
    </w:p>
    <w:p w:rsidR="00196E99" w:rsidRDefault="00CF48E5">
      <w:pPr>
        <w:tabs>
          <w:tab w:val="left" w:pos="1134"/>
        </w:tabs>
        <w:ind w:firstLine="709"/>
        <w:jc w:val="both"/>
      </w:pPr>
      <w:r>
        <w:t xml:space="preserve">Apvienībai nav saprotama šīs normas jēga, jo tas, cik katrai valsts dibinātajai augstskolai būs nepieciešami sabiedrības virzīti padomes locekļi, būs skaidrs no Ministru kabineta pieņemtā lēmuma par augstskolu tipoloģiju un Augstskolu likuma normām, kas noteiks, cik un kādi padomes locekļi nepieciešami valsts dibinātajai augstskolai atkarībā no tās esamības noteiktā augstskolu tipā. </w:t>
      </w:r>
    </w:p>
    <w:p w:rsidR="00196E99" w:rsidRDefault="00196E99">
      <w:pPr>
        <w:tabs>
          <w:tab w:val="left" w:pos="1134"/>
        </w:tabs>
        <w:ind w:firstLine="709"/>
        <w:jc w:val="both"/>
      </w:pPr>
    </w:p>
    <w:p w:rsidR="00196E99" w:rsidRDefault="00CF48E5">
      <w:pPr>
        <w:tabs>
          <w:tab w:val="left" w:pos="1134"/>
        </w:tabs>
        <w:ind w:firstLine="709"/>
        <w:jc w:val="both"/>
      </w:pPr>
      <w:r>
        <w:t xml:space="preserve">6. Noteikumu 21.punkts nosaka, ka padomes locekļa kandidātu var izvirzīt arī sabiedrības pārstāvji. Apvienība uzskata, ka arī pati augstskola varētu izvirzīt atlases komisijai izvērtēšanai padomes locekļa kandidātu, kas nāk no sabiedrības un atbilst Augstskolu likumā noteiktajām prasībām. </w:t>
      </w:r>
    </w:p>
    <w:p w:rsidR="00196E99" w:rsidRDefault="00196E99">
      <w:pPr>
        <w:tabs>
          <w:tab w:val="left" w:pos="1134"/>
        </w:tabs>
        <w:ind w:firstLine="709"/>
        <w:jc w:val="both"/>
      </w:pPr>
    </w:p>
    <w:p w:rsidR="00196E99" w:rsidRDefault="00CF48E5">
      <w:pPr>
        <w:tabs>
          <w:tab w:val="left" w:pos="1134"/>
        </w:tabs>
        <w:ind w:firstLine="709"/>
        <w:jc w:val="both"/>
      </w:pPr>
      <w:r>
        <w:t>7. Apvienība uzskata, ka būtu nepieciešams paredzēt, ka valsts dibinātajai augstskolai, kuras padomes locekļu kandidātus vērtē atlases komisija, ir tiesības izteikt pamatotus argumentus, kādēļ attiecīgais padomes locekļa kandidāts nebūtu virzāms apstiprināšanai Ministru kabinetā. Tas būtu nepieciešams, jo var pastāvēt situācija, kad kāds no padomes locekļu kandidātiem bija iepriekš attiecīgajai augstskolai radījis būtisku kaitējumu.</w:t>
      </w:r>
    </w:p>
    <w:p w:rsidR="00196E99" w:rsidRDefault="00196E99">
      <w:pPr>
        <w:tabs>
          <w:tab w:val="left" w:pos="1134"/>
        </w:tabs>
        <w:ind w:firstLine="709"/>
        <w:jc w:val="both"/>
      </w:pPr>
    </w:p>
    <w:p w:rsidR="00196E99" w:rsidRDefault="00CF48E5">
      <w:pPr>
        <w:tabs>
          <w:tab w:val="left" w:pos="1134"/>
        </w:tabs>
        <w:ind w:firstLine="709"/>
        <w:jc w:val="both"/>
      </w:pPr>
      <w:r>
        <w:t>8. Noteikumu 24.punkts ir izteikts šādā redakcijā:</w:t>
      </w:r>
    </w:p>
    <w:p w:rsidR="00196E99" w:rsidRDefault="00CF48E5">
      <w:pPr>
        <w:tabs>
          <w:tab w:val="left" w:pos="1134"/>
        </w:tabs>
        <w:ind w:firstLine="709"/>
        <w:jc w:val="both"/>
      </w:pPr>
      <w:r>
        <w:t>“24. Kandidāta kompetences novērtē intervijas veidā un, ja nepieciešams, pielietojot citas kandidātu atlases nolikumā noteiktās kompetenču novērtēšanas metodes. To var veikt atlases eksperti, piedaloties atbildīgajai ministrijai (ja nepieciešams), vai atlases komisija, ja tās locekļiem ir profesionāla pieredze kompetenču novērtēšanā.”.</w:t>
      </w:r>
    </w:p>
    <w:p w:rsidR="00196E99" w:rsidRDefault="00196E99">
      <w:pPr>
        <w:tabs>
          <w:tab w:val="left" w:pos="1134"/>
        </w:tabs>
        <w:ind w:firstLine="709"/>
        <w:jc w:val="both"/>
      </w:pPr>
    </w:p>
    <w:p w:rsidR="00196E99" w:rsidRDefault="00CF48E5">
      <w:pPr>
        <w:tabs>
          <w:tab w:val="left" w:pos="1134"/>
        </w:tabs>
        <w:ind w:firstLine="709"/>
        <w:jc w:val="both"/>
      </w:pPr>
      <w:r>
        <w:t xml:space="preserve">Apvienība uzskata, ka šajā punktā noteikto kompetenču novērtēšanā obligāti jāpiedalās atlases komisijai, jo tādā veidā tiek nodrošināta lielāka kandidātu kompetences novērtēšanas objektivitāte, kā arī tas atlases komisijai dos iespēju pieņemt kvalitatīvāku, objektīvāku, pamatotāku lēmumu par padomes locekļu kandidātiem. </w:t>
      </w:r>
    </w:p>
    <w:p w:rsidR="00196E99" w:rsidRDefault="00196E99">
      <w:pPr>
        <w:tabs>
          <w:tab w:val="left" w:pos="1134"/>
        </w:tabs>
        <w:ind w:firstLine="709"/>
        <w:jc w:val="both"/>
      </w:pPr>
    </w:p>
    <w:p w:rsidR="00196E99" w:rsidRDefault="00CF48E5">
      <w:pPr>
        <w:tabs>
          <w:tab w:val="left" w:pos="1134"/>
        </w:tabs>
        <w:ind w:firstLine="709"/>
        <w:jc w:val="both"/>
      </w:pPr>
      <w:r>
        <w:t xml:space="preserve">9. Noteikumu 33.6. </w:t>
      </w:r>
      <w:proofErr w:type="spellStart"/>
      <w:r>
        <w:t>apakšpunts</w:t>
      </w:r>
      <w:proofErr w:type="spellEnd"/>
      <w:r>
        <w:t xml:space="preserve"> nosaka, ka otrajā atlases kārtā atlases komisija var  uzdod citus jautājumus, ja nepieciešams. </w:t>
      </w:r>
    </w:p>
    <w:p w:rsidR="00196E99" w:rsidRDefault="00CF48E5">
      <w:pPr>
        <w:tabs>
          <w:tab w:val="left" w:pos="1134"/>
        </w:tabs>
        <w:ind w:firstLine="709"/>
        <w:jc w:val="both"/>
      </w:pPr>
      <w:r>
        <w:t>Apvienība uzskata, ka būtu nepieciešams konkretizēt minēto apakšpunktu, jo savādāk tas ir ļoti plaši piemērojams.</w:t>
      </w:r>
    </w:p>
    <w:p w:rsidR="00196E99" w:rsidRDefault="00196E99">
      <w:pPr>
        <w:ind w:firstLine="720"/>
        <w:jc w:val="both"/>
      </w:pPr>
    </w:p>
    <w:p w:rsidR="00196E99" w:rsidRDefault="00CF48E5">
      <w:pPr>
        <w:ind w:firstLine="720"/>
        <w:jc w:val="both"/>
      </w:pPr>
      <w:r>
        <w:t>10. Noteikumu 36.punkta pirmais teikums nosaka, ka atlases trešajā kārtā atlases eksperti, piedaloties atbildīgās ministrijas pārstāvim (ja nepieciešams), vai atlases komisija, ja tās locekļiem ir profesionāla pieredze kompetenču novērtēšanā, atbilstoši kandidātu atlases nolikumam vērtē kandidāta kompetences, ievērojot pieredzes jomas.</w:t>
      </w:r>
    </w:p>
    <w:p w:rsidR="00196E99" w:rsidRDefault="00196E99">
      <w:pPr>
        <w:ind w:firstLine="720"/>
        <w:jc w:val="both"/>
      </w:pPr>
    </w:p>
    <w:p w:rsidR="00196E99" w:rsidRDefault="00CF48E5">
      <w:pPr>
        <w:tabs>
          <w:tab w:val="left" w:pos="1134"/>
        </w:tabs>
        <w:ind w:firstLine="709"/>
        <w:jc w:val="both"/>
      </w:pPr>
      <w:r>
        <w:t xml:space="preserve">Apvienība uzskata, ka šajā punktā noteikto kompetenču novērtēšanā obligāti jāpiedalās atlases komisijai, jo tādā veidā tiek nodrošināta lielāka kandidātu profesionālās pieredzes novērtēšanas objektivitāte, kā arī tas atlases komisijai dos iespēju pieņemt kvalitatīvāku, objektīvāku, pamatotāku lēmumu par padomes locekļu kandidātiem. </w:t>
      </w:r>
    </w:p>
    <w:p w:rsidR="00196E99" w:rsidRDefault="00196E99">
      <w:pPr>
        <w:ind w:firstLine="720"/>
        <w:jc w:val="both"/>
      </w:pPr>
    </w:p>
    <w:p w:rsidR="00196E99" w:rsidRDefault="00CF48E5">
      <w:pPr>
        <w:ind w:left="360"/>
        <w:jc w:val="both"/>
      </w:pPr>
      <w:r>
        <w:t xml:space="preserve">Valdes loceklis                </w:t>
      </w:r>
      <w:r>
        <w:tab/>
      </w:r>
      <w:r>
        <w:tab/>
        <w:t xml:space="preserve">     </w:t>
      </w:r>
      <w:r>
        <w:tab/>
        <w:t xml:space="preserve"> </w:t>
      </w:r>
      <w:r>
        <w:tab/>
      </w:r>
      <w:r>
        <w:tab/>
        <w:t xml:space="preserve">  </w:t>
      </w:r>
      <w:r>
        <w:tab/>
        <w:t xml:space="preserve">                    </w:t>
      </w:r>
      <w:proofErr w:type="spellStart"/>
      <w:r>
        <w:t>J.Dzelme</w:t>
      </w:r>
      <w:proofErr w:type="spellEnd"/>
    </w:p>
    <w:sectPr w:rsidR="00196E99">
      <w:headerReference w:type="even" r:id="rId7"/>
      <w:headerReference w:type="default" r:id="rId8"/>
      <w:footerReference w:type="even" r:id="rId9"/>
      <w:footerReference w:type="default" r:id="rId10"/>
      <w:headerReference w:type="first" r:id="rId11"/>
      <w:footerReference w:type="first" r:id="rId12"/>
      <w:pgSz w:w="11906" w:h="16838"/>
      <w:pgMar w:top="1418" w:right="1134" w:bottom="1134" w:left="1701" w:header="709" w:footer="709" w:gutter="0"/>
      <w:cols w:space="720"/>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5B47" w:rsidRDefault="00635B47">
      <w:r>
        <w:separator/>
      </w:r>
    </w:p>
  </w:endnote>
  <w:endnote w:type="continuationSeparator" w:id="0">
    <w:p w:rsidR="00635B47" w:rsidRDefault="00635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110" w:rsidRDefault="006401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110" w:rsidRDefault="00640110" w:rsidP="00640110">
    <w:pPr>
      <w:pStyle w:val="Footer"/>
      <w:jc w:val="both"/>
      <w:rPr>
        <w:sz w:val="20"/>
        <w:szCs w:val="20"/>
      </w:rPr>
    </w:pPr>
    <w:r>
      <w:rPr>
        <w:sz w:val="20"/>
        <w:szCs w:val="20"/>
      </w:rPr>
      <w:t>LNIZAvest_100821_padomes</w:t>
    </w:r>
  </w:p>
  <w:p w:rsidR="00196E99" w:rsidRDefault="00CF48E5">
    <w:pPr>
      <w:pStyle w:val="Footer"/>
      <w:jc w:val="center"/>
      <w:rPr>
        <w:b/>
        <w:sz w:val="20"/>
        <w:szCs w:val="20"/>
      </w:rPr>
    </w:pPr>
    <w:r>
      <w:rPr>
        <w:b/>
        <w:sz w:val="20"/>
        <w:szCs w:val="20"/>
      </w:rPr>
      <w:t>ŠIS DOKUMENTS IR PARAKSTĪTS AR DROŠU ELEKTRONISKO PARAKSTU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110" w:rsidRDefault="00640110">
    <w:pPr>
      <w:pStyle w:val="Footer"/>
      <w:jc w:val="both"/>
      <w:rPr>
        <w:sz w:val="20"/>
        <w:szCs w:val="20"/>
      </w:rPr>
    </w:pPr>
  </w:p>
  <w:p w:rsidR="00196E99" w:rsidRDefault="00640110">
    <w:pPr>
      <w:pStyle w:val="Footer"/>
      <w:jc w:val="both"/>
      <w:rPr>
        <w:sz w:val="20"/>
        <w:szCs w:val="20"/>
      </w:rPr>
    </w:pPr>
    <w:bookmarkStart w:id="0" w:name="_GoBack"/>
    <w:r>
      <w:rPr>
        <w:sz w:val="20"/>
        <w:szCs w:val="20"/>
      </w:rPr>
      <w:t>LNIZAvest_100821_p</w:t>
    </w:r>
    <w:r w:rsidR="00CF48E5">
      <w:rPr>
        <w:sz w:val="20"/>
        <w:szCs w:val="20"/>
      </w:rPr>
      <w:t>adomes</w:t>
    </w:r>
  </w:p>
  <w:bookmarkEnd w:id="0"/>
  <w:p w:rsidR="00196E99" w:rsidRDefault="00CF48E5">
    <w:pPr>
      <w:pStyle w:val="Footer"/>
      <w:jc w:val="center"/>
      <w:rPr>
        <w:b/>
        <w:sz w:val="20"/>
        <w:szCs w:val="20"/>
      </w:rPr>
    </w:pPr>
    <w:r>
      <w:rPr>
        <w:b/>
        <w:sz w:val="20"/>
        <w:szCs w:val="20"/>
      </w:rPr>
      <w:t>ŠIS DOKUMENTS IR PARAKSTĪTS AR DROŠU ELEKTRONISKO PARAKSTU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5B47" w:rsidRDefault="00635B47">
      <w:r>
        <w:separator/>
      </w:r>
    </w:p>
  </w:footnote>
  <w:footnote w:type="continuationSeparator" w:id="0">
    <w:p w:rsidR="00635B47" w:rsidRDefault="00635B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110" w:rsidRDefault="006401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E99" w:rsidRDefault="00CF48E5">
    <w:pPr>
      <w:pStyle w:val="Header"/>
      <w:jc w:val="center"/>
    </w:pPr>
    <w:r>
      <w:fldChar w:fldCharType="begin"/>
    </w:r>
    <w:r>
      <w:instrText>PAGE</w:instrText>
    </w:r>
    <w:r>
      <w:fldChar w:fldCharType="separate"/>
    </w:r>
    <w:r w:rsidR="00640110">
      <w:rPr>
        <w:noProof/>
      </w:rPr>
      <w:t>3</w:t>
    </w:r>
    <w:r>
      <w:fldChar w:fldCharType="end"/>
    </w:r>
  </w:p>
  <w:p w:rsidR="00196E99" w:rsidRDefault="00196E9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6E99" w:rsidRDefault="00CF48E5">
    <w:pPr>
      <w:pStyle w:val="Header"/>
      <w:ind w:left="-1134" w:right="-567"/>
      <w:jc w:val="center"/>
    </w:pPr>
    <w:r>
      <w:t>LATVIJAS NEATKARĪGĀ IZGLĪTĪBAS UN ZINĀTNES</w:t>
    </w:r>
    <w:r>
      <w:br/>
      <w:t>APVIENĪBA</w:t>
    </w:r>
  </w:p>
  <w:p w:rsidR="00196E99" w:rsidRDefault="00196E99">
    <w:pPr>
      <w:pStyle w:val="Header"/>
      <w:ind w:left="-1134" w:right="-567"/>
      <w:jc w:val="center"/>
    </w:pPr>
  </w:p>
  <w:p w:rsidR="00196E99" w:rsidRDefault="00CF48E5">
    <w:pPr>
      <w:pStyle w:val="Header"/>
      <w:pBdr>
        <w:top w:val="single" w:sz="4" w:space="1" w:color="000000"/>
      </w:pBdr>
      <w:spacing w:before="20"/>
      <w:ind w:left="-1134" w:right="-567"/>
      <w:jc w:val="center"/>
    </w:pPr>
    <w:proofErr w:type="spellStart"/>
    <w:r>
      <w:rPr>
        <w:rFonts w:ascii="Arial Narrow" w:hAnsi="Arial Narrow" w:cs="Arial"/>
        <w:sz w:val="20"/>
        <w:szCs w:val="16"/>
      </w:rPr>
      <w:t>Reģ</w:t>
    </w:r>
    <w:proofErr w:type="spellEnd"/>
    <w:r>
      <w:rPr>
        <w:rFonts w:ascii="Arial Narrow" w:hAnsi="Arial Narrow" w:cs="Arial"/>
        <w:sz w:val="20"/>
        <w:szCs w:val="16"/>
      </w:rPr>
      <w:t>. Nr. 40008278887, Rīgā, Spilves ielā 21 - 68, LV-1055, e-pasts: latniza@gmail.com</w:t>
    </w:r>
  </w:p>
  <w:p w:rsidR="00196E99" w:rsidRDefault="00196E99">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6E99"/>
    <w:rsid w:val="00196E99"/>
    <w:rsid w:val="00635B47"/>
    <w:rsid w:val="00640110"/>
    <w:rsid w:val="00A9473E"/>
    <w:rsid w:val="00CF48E5"/>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36D110-9180-4E5F-ABAC-F2155C6E4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indkopa1Rakstz">
    <w:name w:val="Rindkopa1 Rakstz."/>
    <w:qFormat/>
    <w:rPr>
      <w:sz w:val="24"/>
      <w:lang w:val="lv-LV" w:eastAsia="lv-LV" w:bidi="ar-SA"/>
    </w:rPr>
  </w:style>
  <w:style w:type="character" w:customStyle="1" w:styleId="InternetLink">
    <w:name w:val="Internet Link"/>
    <w:qFormat/>
    <w:rPr>
      <w:color w:val="0000FF"/>
      <w:u w:val="single"/>
    </w:rPr>
  </w:style>
  <w:style w:type="character" w:customStyle="1" w:styleId="FooterChar">
    <w:name w:val="Footer Char"/>
    <w:qFormat/>
    <w:rPr>
      <w:sz w:val="24"/>
      <w:szCs w:val="24"/>
    </w:rPr>
  </w:style>
  <w:style w:type="character" w:customStyle="1" w:styleId="HeaderChar">
    <w:name w:val="Header Char"/>
    <w:qFormat/>
    <w:rPr>
      <w:sz w:val="24"/>
      <w:szCs w:val="24"/>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sz w:val="20"/>
    </w:rPr>
  </w:style>
  <w:style w:type="character" w:customStyle="1" w:styleId="ListLabel4">
    <w:name w:val="ListLabel 4"/>
    <w:qFormat/>
    <w:rPr>
      <w:sz w:val="20"/>
    </w:rPr>
  </w:style>
  <w:style w:type="character" w:customStyle="1" w:styleId="ListLabel5">
    <w:name w:val="ListLabel 5"/>
    <w:qFormat/>
    <w:rPr>
      <w:sz w:val="20"/>
    </w:rPr>
  </w:style>
  <w:style w:type="character" w:customStyle="1" w:styleId="ListLabel6">
    <w:name w:val="ListLabel 6"/>
    <w:qFormat/>
    <w:rPr>
      <w:sz w:val="20"/>
    </w:rPr>
  </w:style>
  <w:style w:type="character" w:customStyle="1" w:styleId="ListLabel7">
    <w:name w:val="ListLabel 7"/>
    <w:qFormat/>
    <w:rPr>
      <w:sz w:val="20"/>
    </w:rPr>
  </w:style>
  <w:style w:type="character" w:customStyle="1" w:styleId="ListLabel8">
    <w:name w:val="ListLabel 8"/>
    <w:qFormat/>
    <w:rPr>
      <w:sz w:val="20"/>
    </w:rPr>
  </w:style>
  <w:style w:type="character" w:customStyle="1" w:styleId="ListLabel9">
    <w:name w:val="ListLabel 9"/>
    <w:qFormat/>
    <w:rPr>
      <w:sz w:val="20"/>
    </w:rPr>
  </w:style>
  <w:style w:type="character" w:customStyle="1" w:styleId="Internetasaite">
    <w:name w:val="Interneta saite"/>
    <w:basedOn w:val="DefaultParagraphFont"/>
    <w:rsid w:val="005132C4"/>
    <w:rPr>
      <w:color w:val="0563C1"/>
      <w:u w:val="single"/>
    </w:rPr>
  </w:style>
  <w:style w:type="character" w:customStyle="1" w:styleId="ListLabel10">
    <w:name w:val="ListLabel 10"/>
    <w:qFormat/>
    <w:rPr>
      <w:rFonts w:eastAsia="Calibri"/>
      <w:color w:val="auto"/>
      <w:u w:val="none"/>
      <w:lang w:eastAsia="en-US"/>
    </w:rPr>
  </w:style>
  <w:style w:type="character" w:customStyle="1" w:styleId="ListLabel11">
    <w:name w:val="ListLabel 11"/>
    <w:qFormat/>
    <w:rPr>
      <w:rFonts w:eastAsia="Calibri" w:cs="Times New Roman"/>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color w:val="auto"/>
      <w:u w:val="none"/>
    </w:rPr>
  </w:style>
  <w:style w:type="character" w:customStyle="1" w:styleId="ListLabel16">
    <w:name w:val="ListLabel 16"/>
    <w:qFormat/>
    <w:rPr>
      <w:color w:val="auto"/>
      <w:shd w:val="clear" w:color="auto" w:fill="FFFFFF"/>
    </w:rPr>
  </w:style>
  <w:style w:type="character" w:customStyle="1" w:styleId="ListLabel17">
    <w:name w:val="ListLabel 17"/>
    <w:qFormat/>
    <w:rPr>
      <w:bCs/>
      <w:color w:val="auto"/>
      <w:highlight w:val="white"/>
      <w:u w:val="none"/>
    </w:rPr>
  </w:style>
  <w:style w:type="character" w:customStyle="1" w:styleId="ListLabel18">
    <w:name w:val="ListLabel 18"/>
    <w:qFormat/>
    <w:rPr>
      <w:bCs/>
      <w:color w:val="auto"/>
      <w:highlight w:val="white"/>
      <w:u w:val="none"/>
    </w:rPr>
  </w:style>
  <w:style w:type="character" w:styleId="CommentReference">
    <w:name w:val="annotation reference"/>
    <w:basedOn w:val="DefaultParagraphFont"/>
    <w:uiPriority w:val="99"/>
    <w:semiHidden/>
    <w:unhideWhenUsed/>
    <w:qFormat/>
    <w:rsid w:val="007652CC"/>
    <w:rPr>
      <w:sz w:val="16"/>
      <w:szCs w:val="16"/>
    </w:rPr>
  </w:style>
  <w:style w:type="character" w:customStyle="1" w:styleId="CommentTextChar">
    <w:name w:val="Comment Text Char"/>
    <w:basedOn w:val="DefaultParagraphFont"/>
    <w:link w:val="CommentText"/>
    <w:uiPriority w:val="99"/>
    <w:qFormat/>
    <w:rsid w:val="007652CC"/>
    <w:rPr>
      <w:rFonts w:asciiTheme="minorHAnsi" w:eastAsiaTheme="minorHAnsi" w:hAnsiTheme="minorHAnsi" w:cstheme="minorBidi"/>
      <w:lang w:val="en-GB" w:eastAsia="en-US"/>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Caption1">
    <w:name w:val="Caption1"/>
    <w:basedOn w:val="Normal"/>
    <w:qFormat/>
    <w:pPr>
      <w:suppressLineNumbers/>
      <w:spacing w:before="120" w:after="120"/>
    </w:pPr>
    <w:rPr>
      <w:rFonts w:cs="Arial"/>
      <w:i/>
      <w:iCs/>
    </w:rPr>
  </w:style>
  <w:style w:type="paragraph" w:styleId="Header">
    <w:name w:val="header"/>
    <w:basedOn w:val="Normal"/>
    <w:pPr>
      <w:tabs>
        <w:tab w:val="center" w:pos="4153"/>
        <w:tab w:val="right" w:pos="8306"/>
      </w:tabs>
    </w:pPr>
  </w:style>
  <w:style w:type="paragraph" w:customStyle="1" w:styleId="Rindkopa1">
    <w:name w:val="Rindkopa1"/>
    <w:basedOn w:val="Normal"/>
    <w:qFormat/>
    <w:pPr>
      <w:ind w:firstLine="357"/>
      <w:jc w:val="both"/>
    </w:pPr>
    <w:rPr>
      <w:szCs w:val="20"/>
    </w:rPr>
  </w:style>
  <w:style w:type="paragraph" w:styleId="BalloonText">
    <w:name w:val="Balloon Text"/>
    <w:basedOn w:val="Normal"/>
    <w:qFormat/>
    <w:rPr>
      <w:rFonts w:ascii="Tahoma" w:hAnsi="Tahoma" w:cs="Tahoma"/>
      <w:sz w:val="16"/>
      <w:szCs w:val="16"/>
    </w:rPr>
  </w:style>
  <w:style w:type="paragraph" w:customStyle="1" w:styleId="tvhtml">
    <w:name w:val="tv_html"/>
    <w:basedOn w:val="Normal"/>
    <w:qFormat/>
    <w:pPr>
      <w:spacing w:before="280" w:after="280"/>
    </w:pPr>
  </w:style>
  <w:style w:type="paragraph" w:styleId="Footer">
    <w:name w:val="footer"/>
    <w:basedOn w:val="Normal"/>
    <w:pPr>
      <w:tabs>
        <w:tab w:val="center" w:pos="4153"/>
        <w:tab w:val="right" w:pos="8306"/>
      </w:tabs>
    </w:pPr>
  </w:style>
  <w:style w:type="paragraph" w:styleId="ListParagraph">
    <w:name w:val="List Paragraph"/>
    <w:basedOn w:val="Normal"/>
    <w:qFormat/>
    <w:pPr>
      <w:ind w:left="720"/>
      <w:contextualSpacing/>
    </w:pPr>
  </w:style>
  <w:style w:type="paragraph" w:styleId="CommentText">
    <w:name w:val="annotation text"/>
    <w:basedOn w:val="Normal"/>
    <w:link w:val="CommentTextChar"/>
    <w:uiPriority w:val="99"/>
    <w:unhideWhenUsed/>
    <w:qFormat/>
    <w:rsid w:val="007652CC"/>
    <w:pPr>
      <w:suppressAutoHyphens w:val="0"/>
      <w:spacing w:after="160"/>
    </w:pPr>
    <w:rPr>
      <w:rFonts w:asciiTheme="minorHAnsi" w:eastAsiaTheme="minorHAnsi" w:hAnsiTheme="minorHAnsi" w:cstheme="minorBidi"/>
      <w:sz w:val="20"/>
      <w:szCs w:val="20"/>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9F7549-1D10-4361-8AAD-0F7C96E7E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1387</Words>
  <Characters>7907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Par Ministru kabineta noteikumu projektu "Studiju virzienu atvēršanas un akreditācijas noteikumi"</vt:lpstr>
    </vt:vector>
  </TitlesOfParts>
  <Company>RTU</Company>
  <LinksUpToDate>false</LinksUpToDate>
  <CharactersWithSpaces>9276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"Studiju virzienu atvēršanas un akreditācijas noteikumi"</dc:title>
  <dc:subject/>
  <dc:creator>Maris Strads | BA.LV</dc:creator>
  <dc:description/>
  <cp:lastModifiedBy>Anita Depkovska</cp:lastModifiedBy>
  <cp:revision>3</cp:revision>
  <cp:lastPrinted>1995-11-21T15:41:00Z</cp:lastPrinted>
  <dcterms:created xsi:type="dcterms:W3CDTF">2021-08-12T05:32:00Z</dcterms:created>
  <dcterms:modified xsi:type="dcterms:W3CDTF">2021-09-01T19:50:00Z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RTU</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