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7FC65" w14:textId="77777777" w:rsidR="00B15B7C" w:rsidRPr="00B15B7C" w:rsidRDefault="00B15B7C" w:rsidP="00B15B7C">
      <w:pPr>
        <w:spacing w:after="240"/>
        <w:textAlignment w:val="baseline"/>
        <w:rPr>
          <w:rFonts w:ascii="Arial" w:eastAsia="Times New Roman" w:hAnsi="Arial" w:cs="Arial"/>
          <w:color w:val="000000" w:themeColor="text1"/>
          <w:kern w:val="0"/>
          <w:sz w:val="22"/>
          <w:szCs w:val="22"/>
          <w:lang w:val="en-LV" w:eastAsia="en-GB"/>
          <w14:ligatures w14:val="none"/>
        </w:rPr>
      </w:pPr>
    </w:p>
    <w:p w14:paraId="0C45EEA9" w14:textId="77777777" w:rsidR="00B15B7C" w:rsidRPr="00B15B7C" w:rsidRDefault="00B15B7C" w:rsidP="00B15B7C">
      <w:pPr>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sz w:val="22"/>
          <w:szCs w:val="22"/>
          <w:lang w:val="en-LV" w:eastAsia="en-GB"/>
          <w14:ligatures w14:val="none"/>
        </w:rPr>
        <w:t>No: Ilze Māliņa &lt;Ilze.Malina@TM.GOV.LV&gt;</w:t>
      </w:r>
      <w:r w:rsidRPr="00B15B7C">
        <w:rPr>
          <w:rFonts w:ascii="Arial" w:eastAsia="Times New Roman" w:hAnsi="Arial" w:cs="Arial"/>
          <w:color w:val="000000" w:themeColor="text1"/>
          <w:kern w:val="0"/>
          <w:sz w:val="22"/>
          <w:szCs w:val="22"/>
          <w:lang w:val="en-LV" w:eastAsia="en-GB"/>
          <w14:ligatures w14:val="none"/>
        </w:rPr>
        <w:br/>
        <w:t>Nosūtīts: ceturtdiena, 2021. gada 8. aprīlis 16:50</w:t>
      </w:r>
      <w:r w:rsidRPr="00B15B7C">
        <w:rPr>
          <w:rFonts w:ascii="Arial" w:eastAsia="Times New Roman" w:hAnsi="Arial" w:cs="Arial"/>
          <w:color w:val="000000" w:themeColor="text1"/>
          <w:kern w:val="0"/>
          <w:sz w:val="22"/>
          <w:szCs w:val="22"/>
          <w:lang w:val="en-LV" w:eastAsia="en-GB"/>
          <w14:ligatures w14:val="none"/>
        </w:rPr>
        <w:br/>
        <w:t>Kam: Pasts &lt;Pasts@fm.gov.lv&gt;</w:t>
      </w:r>
      <w:r w:rsidRPr="00B15B7C">
        <w:rPr>
          <w:rFonts w:ascii="Arial" w:eastAsia="Times New Roman" w:hAnsi="Arial" w:cs="Arial"/>
          <w:color w:val="000000" w:themeColor="text1"/>
          <w:kern w:val="0"/>
          <w:sz w:val="22"/>
          <w:szCs w:val="22"/>
          <w:lang w:val="en-LV" w:eastAsia="en-GB"/>
          <w14:ligatures w14:val="none"/>
        </w:rPr>
        <w:br/>
        <w:t>Kopija: TM KANCELEJA &lt;TM.KANCELEJA@TM.GOV.LV&gt;; Arnis Slesars &lt;Arnis.Slesars@tm.gov.lv&gt;; Naira Anfimova &lt;Naira.Anfimova@tm.gov.lv&gt;; Inese Albova &lt;inese.albova@fm.gov.lv&gt;</w:t>
      </w:r>
      <w:r w:rsidRPr="00B15B7C">
        <w:rPr>
          <w:rFonts w:ascii="Arial" w:eastAsia="Times New Roman" w:hAnsi="Arial" w:cs="Arial"/>
          <w:color w:val="000000" w:themeColor="text1"/>
          <w:kern w:val="0"/>
          <w:sz w:val="22"/>
          <w:szCs w:val="22"/>
          <w:lang w:val="en-LV" w:eastAsia="en-GB"/>
          <w14:ligatures w14:val="none"/>
        </w:rPr>
        <w:br/>
        <w:t>Tēma: Atb.: Par likumprojekta "Grozījumi Sauszemes transportlīdzekļu īpašnieku civiltiesiskās atbildības obligātās apdrošināšanas likumā" (VSS-617) elektronisku saskaņošanu</w:t>
      </w:r>
    </w:p>
    <w:p w14:paraId="71E18436" w14:textId="77777777" w:rsidR="00B15B7C" w:rsidRPr="00B15B7C" w:rsidRDefault="00B15B7C" w:rsidP="00B15B7C">
      <w:pPr>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sz w:val="22"/>
          <w:szCs w:val="22"/>
          <w:lang w:val="en-LV" w:eastAsia="en-GB"/>
          <w14:ligatures w14:val="none"/>
        </w:rPr>
        <w:t> </w:t>
      </w:r>
    </w:p>
    <w:p w14:paraId="7399FC02"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Tieslietu ministrija saskaņā ar Finanšu ministrijas 2021. gada 30. marta elektronisko sūtījumu ir izskatījusi precizēto likumprojektu "Grozījumi Sauszemes transportlīdzekļu īpašnieku civiltiesiskās atbildības obligātās apdrošināšanas likumā" (turpmāk – projekts) un atbalsta projekta virzību, izsakot šādus iebildumus: </w:t>
      </w:r>
    </w:p>
    <w:p w14:paraId="7565C43F"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1. </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Vēršam uzmanību </w:t>
      </w:r>
      <w:r w:rsidRPr="00B15B7C">
        <w:rPr>
          <w:rFonts w:ascii="Arial" w:eastAsia="Times New Roman" w:hAnsi="Arial" w:cs="Arial"/>
          <w:color w:val="000000" w:themeColor="text1"/>
          <w:kern w:val="0"/>
          <w:bdr w:val="none" w:sz="0" w:space="0" w:color="auto" w:frame="1"/>
          <w:lang w:val="en-LV" w:eastAsia="en-GB"/>
          <w14:ligatures w14:val="none"/>
        </w:rPr>
        <w:t>uz to, ka </w:t>
      </w:r>
      <w:r w:rsidRPr="00B15B7C">
        <w:rPr>
          <w:rFonts w:ascii="Arial" w:eastAsia="Times New Roman" w:hAnsi="Arial" w:cs="Arial"/>
          <w:color w:val="000000" w:themeColor="text1"/>
          <w:kern w:val="0"/>
          <w:u w:val="single"/>
          <w:bdr w:val="none" w:sz="0" w:space="0" w:color="auto" w:frame="1"/>
          <w:lang w:val="en-LV" w:eastAsia="en-GB"/>
          <w14:ligatures w14:val="none"/>
        </w:rPr>
        <w:t>Ministru kabinets ārējo normatīvo aktu var izdot tikai tādā gadījumā, ja likumdevējs likumā formulējis pilnvarojumu šāda akta izdošanai un noteicis pilnvarojuma robežas</w:t>
      </w:r>
      <w:r w:rsidRPr="00B15B7C">
        <w:rPr>
          <w:rFonts w:ascii="Arial" w:eastAsia="Times New Roman" w:hAnsi="Arial" w:cs="Arial"/>
          <w:color w:val="000000" w:themeColor="text1"/>
          <w:kern w:val="0"/>
          <w:bdr w:val="none" w:sz="0" w:space="0" w:color="auto" w:frame="1"/>
          <w:lang w:val="en-LV" w:eastAsia="en-GB"/>
          <w14:ligatures w14:val="none"/>
        </w:rPr>
        <w:t> (skat. Satversmes tiesas 2017. gada 29. jūnija sprieduma lietā Nr. 2016-23-03 16. punktu). Turklāt </w:t>
      </w:r>
      <w:r w:rsidRPr="00B15B7C">
        <w:rPr>
          <w:rFonts w:ascii="Arial" w:eastAsia="Times New Roman" w:hAnsi="Arial" w:cs="Arial"/>
          <w:color w:val="000000" w:themeColor="text1"/>
          <w:kern w:val="0"/>
          <w:u w:val="single"/>
          <w:bdr w:val="none" w:sz="0" w:space="0" w:color="auto" w:frame="1"/>
          <w:lang w:val="en-LV" w:eastAsia="en-GB"/>
          <w14:ligatures w14:val="none"/>
        </w:rPr>
        <w:t>Ministru kabineta noteikumu saturam jāatbilst likumdevēja noteiktajam pilnvarojumam Ministru kabinetam</w:t>
      </w:r>
      <w:r w:rsidRPr="00B15B7C">
        <w:rPr>
          <w:rFonts w:ascii="Arial" w:eastAsia="Times New Roman" w:hAnsi="Arial" w:cs="Arial"/>
          <w:color w:val="000000" w:themeColor="text1"/>
          <w:kern w:val="0"/>
          <w:bdr w:val="none" w:sz="0" w:space="0" w:color="auto" w:frame="1"/>
          <w:lang w:val="en-LV" w:eastAsia="en-GB"/>
          <w14:ligatures w14:val="none"/>
        </w:rPr>
        <w:t>. </w:t>
      </w:r>
    </w:p>
    <w:p w14:paraId="5C2697E6"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u w:val="single"/>
          <w:bdr w:val="none" w:sz="0" w:space="0" w:color="auto" w:frame="1"/>
          <w:lang w:val="en-LV" w:eastAsia="en-GB"/>
          <w14:ligatures w14:val="none"/>
        </w:rPr>
        <w:t>Jēdziens "kārtība" nozīmē norises īstenošanas veidu vai darbības organizāciju</w:t>
      </w:r>
      <w:r w:rsidRPr="00B15B7C">
        <w:rPr>
          <w:rFonts w:ascii="Arial" w:eastAsia="Times New Roman" w:hAnsi="Arial" w:cs="Arial"/>
          <w:color w:val="000000" w:themeColor="text1"/>
          <w:kern w:val="0"/>
          <w:bdr w:val="none" w:sz="0" w:space="0" w:color="auto" w:frame="1"/>
          <w:lang w:val="en-LV" w:eastAsia="en-GB"/>
          <w14:ligatures w14:val="none"/>
        </w:rPr>
        <w:t> (skat., piemēram, Satversmes tiesas 2012. gada 2. maija sprieduma lietā Nr. 2011-17-03 13.3. apakšpunktu). </w:t>
      </w:r>
      <w:r w:rsidRPr="00B15B7C">
        <w:rPr>
          <w:rFonts w:ascii="Arial" w:eastAsia="Times New Roman" w:hAnsi="Arial" w:cs="Arial"/>
          <w:color w:val="000000" w:themeColor="text1"/>
          <w:kern w:val="0"/>
          <w:u w:val="single"/>
          <w:bdr w:val="none" w:sz="0" w:space="0" w:color="auto" w:frame="1"/>
          <w:lang w:val="en-LV" w:eastAsia="en-GB"/>
          <w14:ligatures w14:val="none"/>
        </w:rPr>
        <w:t>Atsevišķos gadījumos Ministru kabineta noteikumu saturu var veidot arī materiālās normas, taču tām jābūt pieņemtām, pamatojoties uz nepārprotamu likumdevēja pilnvarojumu</w:t>
      </w:r>
      <w:r w:rsidRPr="00B15B7C">
        <w:rPr>
          <w:rFonts w:ascii="Arial" w:eastAsia="Times New Roman" w:hAnsi="Arial" w:cs="Arial"/>
          <w:color w:val="000000" w:themeColor="text1"/>
          <w:kern w:val="0"/>
          <w:bdr w:val="none" w:sz="0" w:space="0" w:color="auto" w:frame="1"/>
          <w:lang w:val="en-LV" w:eastAsia="en-GB"/>
          <w14:ligatures w14:val="none"/>
        </w:rPr>
        <w:t> (skat., piemēram, Satversmes tiesas 2018. gada 18. oktobra sprieduma lietā Nr. 2017-33-03 14. punktu).</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w:t>
      </w:r>
    </w:p>
    <w:p w14:paraId="4F9E4BDD"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Ievērojot minēto, kā arī to, ka no projekta 4. pantā paredzētajā </w:t>
      </w:r>
      <w:r w:rsidRPr="00B15B7C">
        <w:rPr>
          <w:rFonts w:ascii="Arial" w:eastAsia="Times New Roman" w:hAnsi="Arial" w:cs="Arial"/>
          <w:color w:val="000000" w:themeColor="text1"/>
          <w:kern w:val="0"/>
          <w:bdr w:val="none" w:sz="0" w:space="0" w:color="auto" w:frame="1"/>
          <w:lang w:val="en-LV" w:eastAsia="en-GB"/>
          <w14:ligatures w14:val="none"/>
        </w:rPr>
        <w:t>Sauszemes transportlīdzekļu īpašnieku civiltiesiskās atbildības obligātās apdrošināšanas likuma (turpmāk – OCTA likums)</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37. panta piektajā daļā ietvertā pilnvarojuma Ministru kabinetam izriet, ka attiecīgajos Ministru kabineta noteikumos tiks paredzētas tikai procesuālās tiesību normas (izņemot sertificēšanas pārbaudes maksu), lūdzam izvērtēt projektā paredzēto regulējumu un attiecīgi precizēt to. </w:t>
      </w:r>
    </w:p>
    <w:p w14:paraId="06D13A0D"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Vienlaikus vēršam uzmanību uz to, ka Administratīvā procesa likuma 11. pants noteic, ka </w:t>
      </w:r>
      <w:r w:rsidRPr="00B15B7C">
        <w:rPr>
          <w:rFonts w:ascii="Arial" w:eastAsia="Times New Roman" w:hAnsi="Arial" w:cs="Arial"/>
          <w:color w:val="000000" w:themeColor="text1"/>
          <w:kern w:val="0"/>
          <w:u w:val="single"/>
          <w:bdr w:val="none" w:sz="0" w:space="0" w:color="auto" w:frame="1"/>
          <w:shd w:val="clear" w:color="auto" w:fill="FFFFFF"/>
          <w:lang w:val="en-LV" w:eastAsia="en-GB"/>
          <w14:ligatures w14:val="none"/>
        </w:rPr>
        <w:t>p</w:t>
      </w:r>
      <w:r w:rsidRPr="00B15B7C">
        <w:rPr>
          <w:rFonts w:ascii="Arial" w:eastAsia="Times New Roman" w:hAnsi="Arial" w:cs="Arial"/>
          <w:color w:val="000000" w:themeColor="text1"/>
          <w:kern w:val="0"/>
          <w:u w:val="single"/>
          <w:bdr w:val="none" w:sz="0" w:space="0" w:color="auto" w:frame="1"/>
          <w:lang w:val="en-LV" w:eastAsia="en-GB"/>
          <w14:ligatures w14:val="none"/>
        </w:rPr>
        <w:t>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Pr="00B15B7C">
        <w:rPr>
          <w:rFonts w:ascii="Arial" w:eastAsia="Times New Roman" w:hAnsi="Arial" w:cs="Arial"/>
          <w:color w:val="000000" w:themeColor="text1"/>
          <w:kern w:val="0"/>
          <w:bdr w:val="none" w:sz="0" w:space="0" w:color="auto" w:frame="1"/>
          <w:lang w:val="en-LV" w:eastAsia="en-GB"/>
          <w14:ligatures w14:val="none"/>
        </w:rPr>
        <w:t>. </w:t>
      </w:r>
    </w:p>
    <w:p w14:paraId="23ACB341"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No projekta 4. pantā paredzētajā OCTA likuma 37. panta piektajā daļā minētā izriet, ka tiks izdoti privātpersonai nelabvēlīgi administratīvie akti, bet materiālās tiesību normas ir tikai attiecībā uz tehniskā eksperta sertifikāta anulēšanu. Turklāt norādām uz to, ka, ja OCTA likumā tiek paredzēti gadījumi, kad tiek anulēts tehniskā eksperta sertifikāts, tad OCTA likumā ir jāapredz arī tie gadījumi, kad, piemēram, tiek apturēts tehniskā eksperta sertifikāts. </w:t>
      </w:r>
    </w:p>
    <w:p w14:paraId="336596BC"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Papildus vēršam uzmanību uz to, ka </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projekta 4. pantā paredzētajā </w:t>
      </w:r>
      <w:r w:rsidRPr="00B15B7C">
        <w:rPr>
          <w:rFonts w:ascii="Arial" w:eastAsia="Times New Roman" w:hAnsi="Arial" w:cs="Arial"/>
          <w:color w:val="000000" w:themeColor="text1"/>
          <w:kern w:val="0"/>
          <w:bdr w:val="none" w:sz="0" w:space="0" w:color="auto" w:frame="1"/>
          <w:lang w:val="en-LV" w:eastAsia="en-GB"/>
          <w14:ligatures w14:val="none"/>
        </w:rPr>
        <w:t>OCTA likuma</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xml:space="preserve"> 37. panta piektajā daļā ietvertais pilnvarojums Ministru kabinetam ir neskaidrs, </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lastRenderedPageBreak/>
        <w:t>jo daļa regulējuma tiek paredzēta OCTA likumā, bet daļa regulējuma tiks paredzēta attiecīgajos Ministru kabineta noteikumos. </w:t>
      </w:r>
    </w:p>
    <w:p w14:paraId="5B548722"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Tāpat vēršam uzmanību uz to, ka nav skaidrs, kādēļ projekta 5. pantā paredzētajā OCTA likuma 37.</w:t>
      </w:r>
      <w:r w:rsidRPr="00B15B7C">
        <w:rPr>
          <w:rFonts w:ascii="Arial" w:eastAsia="Times New Roman" w:hAnsi="Arial" w:cs="Arial"/>
          <w:color w:val="000000" w:themeColor="text1"/>
          <w:kern w:val="0"/>
          <w:bdr w:val="none" w:sz="0" w:space="0" w:color="auto" w:frame="1"/>
          <w:shd w:val="clear" w:color="auto" w:fill="FFFFFF"/>
          <w:vertAlign w:val="superscript"/>
          <w:lang w:val="en-LV" w:eastAsia="en-GB"/>
          <w14:ligatures w14:val="none"/>
        </w:rPr>
        <w:t>2</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panta ceturtajā daļā un 37.</w:t>
      </w:r>
      <w:r w:rsidRPr="00B15B7C">
        <w:rPr>
          <w:rFonts w:ascii="Arial" w:eastAsia="Times New Roman" w:hAnsi="Arial" w:cs="Arial"/>
          <w:color w:val="000000" w:themeColor="text1"/>
          <w:kern w:val="0"/>
          <w:bdr w:val="none" w:sz="0" w:space="0" w:color="auto" w:frame="1"/>
          <w:shd w:val="clear" w:color="auto" w:fill="FFFFFF"/>
          <w:vertAlign w:val="superscript"/>
          <w:lang w:val="en-LV" w:eastAsia="en-GB"/>
          <w14:ligatures w14:val="none"/>
        </w:rPr>
        <w:t>5</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panta otrajā daļā tiek noteikts attiecīgais tehniskā eksperta sertifikāta </w:t>
      </w:r>
      <w:r w:rsidRPr="00B15B7C">
        <w:rPr>
          <w:rFonts w:ascii="Arial" w:eastAsia="Times New Roman" w:hAnsi="Arial" w:cs="Arial"/>
          <w:color w:val="000000" w:themeColor="text1"/>
          <w:kern w:val="0"/>
          <w:u w:val="single"/>
          <w:bdr w:val="none" w:sz="0" w:space="0" w:color="auto" w:frame="1"/>
          <w:shd w:val="clear" w:color="auto" w:fill="FFFFFF"/>
          <w:lang w:val="en-LV" w:eastAsia="en-GB"/>
          <w14:ligatures w14:val="none"/>
        </w:rPr>
        <w:t>derīguma termiņš</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Nav arī skaidrs, kādēļ projekta 5. pantā paredzētajā OCTA likuma 37.</w:t>
      </w:r>
      <w:r w:rsidRPr="00B15B7C">
        <w:rPr>
          <w:rFonts w:ascii="Arial" w:eastAsia="Times New Roman" w:hAnsi="Arial" w:cs="Arial"/>
          <w:color w:val="000000" w:themeColor="text1"/>
          <w:kern w:val="0"/>
          <w:bdr w:val="none" w:sz="0" w:space="0" w:color="auto" w:frame="1"/>
          <w:shd w:val="clear" w:color="auto" w:fill="FFFFFF"/>
          <w:vertAlign w:val="superscript"/>
          <w:lang w:val="en-LV" w:eastAsia="en-GB"/>
          <w14:ligatures w14:val="none"/>
        </w:rPr>
        <w:t>3</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pantā tiek noteikti tikai tehniskā eksperta pienākumi, bet netiek noteiktas tehniskā eksperta tiesības. Turklāt Administratīvā procesa likuma 18. panta pirmā daļa noteic, ka </w:t>
      </w:r>
      <w:r w:rsidRPr="00B15B7C">
        <w:rPr>
          <w:rFonts w:ascii="Arial" w:eastAsia="Times New Roman" w:hAnsi="Arial" w:cs="Arial"/>
          <w:color w:val="000000" w:themeColor="text1"/>
          <w:kern w:val="0"/>
          <w:u w:val="single"/>
          <w:bdr w:val="none" w:sz="0" w:space="0" w:color="auto" w:frame="1"/>
          <w:shd w:val="clear" w:color="auto" w:fill="FFFFFF"/>
          <w:lang w:val="en-LV" w:eastAsia="en-GB"/>
          <w14:ligatures w14:val="none"/>
        </w:rPr>
        <w:t>administratīvais process iestādē privātpersonai ir bez maksas</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ja likumā nav noteikts citādi, bet </w:t>
      </w:r>
      <w:r w:rsidRPr="00B15B7C">
        <w:rPr>
          <w:rFonts w:ascii="Arial" w:eastAsia="Times New Roman" w:hAnsi="Arial" w:cs="Arial"/>
          <w:color w:val="000000" w:themeColor="text1"/>
          <w:kern w:val="0"/>
          <w:bdr w:val="none" w:sz="0" w:space="0" w:color="auto" w:frame="1"/>
          <w:lang w:val="en-LV" w:eastAsia="en-GB"/>
          <w14:ligatures w14:val="none"/>
        </w:rPr>
        <w:t>projekta sākotnējās (ex-ante) ietekmes novērtējuma ziņojuma (turpmāk – anotācija) I sadaļas 2. punktā nav attiecīga </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skaidrojuma par projekta 4. pantā paredzētajā OCTA likuma 37. panta piektajā daļā un projekta 5. pantā paredzētajā OCTA likuma 37.</w:t>
      </w:r>
      <w:r w:rsidRPr="00B15B7C">
        <w:rPr>
          <w:rFonts w:ascii="Arial" w:eastAsia="Times New Roman" w:hAnsi="Arial" w:cs="Arial"/>
          <w:color w:val="000000" w:themeColor="text1"/>
          <w:kern w:val="0"/>
          <w:bdr w:val="none" w:sz="0" w:space="0" w:color="auto" w:frame="1"/>
          <w:shd w:val="clear" w:color="auto" w:fill="FFFFFF"/>
          <w:vertAlign w:val="superscript"/>
          <w:lang w:val="en-LV" w:eastAsia="en-GB"/>
          <w14:ligatures w14:val="none"/>
        </w:rPr>
        <w:t>2</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panta otrās daļas 3. punktā ietverto regulējumu. Administratīvā procesa likuma 64. panta pirmā daļa noteic, ka, </w:t>
      </w:r>
      <w:r w:rsidRPr="00B15B7C">
        <w:rPr>
          <w:rFonts w:ascii="Arial" w:eastAsia="Times New Roman" w:hAnsi="Arial" w:cs="Arial"/>
          <w:color w:val="000000" w:themeColor="text1"/>
          <w:kern w:val="0"/>
          <w:u w:val="single"/>
          <w:bdr w:val="none" w:sz="0" w:space="0" w:color="auto" w:frame="1"/>
          <w:shd w:val="clear" w:color="auto" w:fill="FFFFFF"/>
          <w:lang w:val="en-LV" w:eastAsia="en-GB"/>
          <w14:ligatures w14:val="none"/>
        </w:rPr>
        <w:t>ja administratīvā lieta ierosināta uz iesnieguma pamata, iestāde pieņem lēmumu par administratīvā akta izdošanu viena mēneša laikā no iesnieguma saņemšanas dienas</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ja likumā nav noteikts cits termiņš vai citā normatīvajā aktā – īsāks termiņš administratīvā akta izdošanai. Savukārt no projekta 5. pantā paredzētajos grozījumos ietvertā regulējuma un anotācijas I sadaļas 2. punktā ietvertās informācijas nav skaidrs, vai attiecīgie lēmumi tiks pieņemti mēneša laikā. Nav arī skaidrs, kas tiek saprasts ar projekta 5. pantā paredzētajā OCTA likuma 37.</w:t>
      </w:r>
      <w:r w:rsidRPr="00B15B7C">
        <w:rPr>
          <w:rFonts w:ascii="Arial" w:eastAsia="Times New Roman" w:hAnsi="Arial" w:cs="Arial"/>
          <w:color w:val="000000" w:themeColor="text1"/>
          <w:kern w:val="0"/>
          <w:bdr w:val="none" w:sz="0" w:space="0" w:color="auto" w:frame="1"/>
          <w:shd w:val="clear" w:color="auto" w:fill="FFFFFF"/>
          <w:vertAlign w:val="superscript"/>
          <w:lang w:val="en-LV" w:eastAsia="en-GB"/>
          <w14:ligatures w14:val="none"/>
        </w:rPr>
        <w:t>5</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panta pirmās daļas 1. punktā minētajiem </w:t>
      </w:r>
      <w:r w:rsidRPr="00B15B7C">
        <w:rPr>
          <w:rFonts w:ascii="Arial" w:eastAsia="Times New Roman" w:hAnsi="Arial" w:cs="Arial"/>
          <w:color w:val="000000" w:themeColor="text1"/>
          <w:kern w:val="0"/>
          <w:u w:val="single"/>
          <w:bdr w:val="none" w:sz="0" w:space="0" w:color="auto" w:frame="1"/>
          <w:shd w:val="clear" w:color="auto" w:fill="FFFFFF"/>
          <w:lang w:val="en-LV" w:eastAsia="en-GB"/>
          <w14:ligatures w14:val="none"/>
        </w:rPr>
        <w:t>būtiskajiem pārkāpumiem</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w:t>
      </w:r>
    </w:p>
    <w:p w14:paraId="54D0FF36"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Ievērojot minēto, lūdzam izvērtēt projekta 4. un 5. pantā paredzētajos grozījumos ietverto regulējumu un precizēt to, kā arī papildināt </w:t>
      </w:r>
      <w:r w:rsidRPr="00B15B7C">
        <w:rPr>
          <w:rFonts w:ascii="Arial" w:eastAsia="Times New Roman" w:hAnsi="Arial" w:cs="Arial"/>
          <w:color w:val="000000" w:themeColor="text1"/>
          <w:kern w:val="0"/>
          <w:bdr w:val="none" w:sz="0" w:space="0" w:color="auto" w:frame="1"/>
          <w:lang w:val="en-LV" w:eastAsia="en-GB"/>
          <w14:ligatures w14:val="none"/>
        </w:rPr>
        <w:t>anotācijas I sadaļas 2. punktu </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ar atbilstošu skaidrojumu. </w:t>
      </w:r>
    </w:p>
    <w:p w14:paraId="70DBAEFA"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2. </w:t>
      </w:r>
      <w:r w:rsidRPr="00B15B7C">
        <w:rPr>
          <w:rFonts w:ascii="Arial" w:eastAsia="Times New Roman" w:hAnsi="Arial" w:cs="Arial"/>
          <w:color w:val="000000" w:themeColor="text1"/>
          <w:kern w:val="0"/>
          <w:bdr w:val="none" w:sz="0" w:space="0" w:color="auto" w:frame="1"/>
          <w:lang w:val="en-LV" w:eastAsia="en-GB"/>
          <w14:ligatures w14:val="none"/>
        </w:rPr>
        <w:t>Projekta 5. pantā paredzētajā OCTA likuma 37.</w:t>
      </w:r>
      <w:r w:rsidRPr="00B15B7C">
        <w:rPr>
          <w:rFonts w:ascii="Arial" w:eastAsia="Times New Roman" w:hAnsi="Arial" w:cs="Arial"/>
          <w:color w:val="000000" w:themeColor="text1"/>
          <w:kern w:val="0"/>
          <w:bdr w:val="none" w:sz="0" w:space="0" w:color="auto" w:frame="1"/>
          <w:vertAlign w:val="superscript"/>
          <w:lang w:val="en-LV" w:eastAsia="en-GB"/>
          <w14:ligatures w14:val="none"/>
        </w:rPr>
        <w:t>1</w:t>
      </w:r>
      <w:r w:rsidRPr="00B15B7C">
        <w:rPr>
          <w:rFonts w:ascii="Arial" w:eastAsia="Times New Roman" w:hAnsi="Arial" w:cs="Arial"/>
          <w:color w:val="000000" w:themeColor="text1"/>
          <w:kern w:val="0"/>
          <w:bdr w:val="none" w:sz="0" w:space="0" w:color="auto" w:frame="1"/>
          <w:lang w:val="en-LV" w:eastAsia="en-GB"/>
          <w14:ligatures w14:val="none"/>
        </w:rPr>
        <w:t> panta pirmās daļas ievaddaļā ir ietverta atsauce par vārdkopas "sertificēts sauszemes transportlīdzekļu tehniskais eksperts" saīsinājuma "</w:t>
      </w:r>
      <w:r w:rsidRPr="00B15B7C">
        <w:rPr>
          <w:rFonts w:ascii="Arial" w:eastAsia="Times New Roman" w:hAnsi="Arial" w:cs="Arial"/>
          <w:color w:val="000000" w:themeColor="text1"/>
          <w:kern w:val="0"/>
          <w:u w:val="single"/>
          <w:bdr w:val="none" w:sz="0" w:space="0" w:color="auto" w:frame="1"/>
          <w:lang w:val="en-LV" w:eastAsia="en-GB"/>
          <w14:ligatures w14:val="none"/>
        </w:rPr>
        <w:t>tehniskais eksperts</w:t>
      </w:r>
      <w:r w:rsidRPr="00B15B7C">
        <w:rPr>
          <w:rFonts w:ascii="Arial" w:eastAsia="Times New Roman" w:hAnsi="Arial" w:cs="Arial"/>
          <w:color w:val="000000" w:themeColor="text1"/>
          <w:kern w:val="0"/>
          <w:bdr w:val="none" w:sz="0" w:space="0" w:color="auto" w:frame="1"/>
          <w:lang w:val="en-LV" w:eastAsia="en-GB"/>
          <w14:ligatures w14:val="none"/>
        </w:rPr>
        <w:t>" lietošanu turpmākajā tekstā. Ievērojot minēto, kā arī to, ka, piemēram, OCTA likuma 27. panta ceturtajā daļā un 37. panta otrajā daļā ir minēts termins "</w:t>
      </w:r>
      <w:r w:rsidRPr="00B15B7C">
        <w:rPr>
          <w:rFonts w:ascii="Arial" w:eastAsia="Times New Roman" w:hAnsi="Arial" w:cs="Arial"/>
          <w:color w:val="000000" w:themeColor="text1"/>
          <w:kern w:val="0"/>
          <w:u w:val="single"/>
          <w:bdr w:val="none" w:sz="0" w:space="0" w:color="auto" w:frame="1"/>
          <w:lang w:val="en-LV" w:eastAsia="en-GB"/>
          <w14:ligatures w14:val="none"/>
        </w:rPr>
        <w:t>eksperts</w:t>
      </w:r>
      <w:r w:rsidRPr="00B15B7C">
        <w:rPr>
          <w:rFonts w:ascii="Arial" w:eastAsia="Times New Roman" w:hAnsi="Arial" w:cs="Arial"/>
          <w:color w:val="000000" w:themeColor="text1"/>
          <w:kern w:val="0"/>
          <w:bdr w:val="none" w:sz="0" w:space="0" w:color="auto" w:frame="1"/>
          <w:lang w:val="en-LV" w:eastAsia="en-GB"/>
          <w14:ligatures w14:val="none"/>
        </w:rPr>
        <w:t>", OCTA likuma 37. panta trešajā daļā ir minēts termins "</w:t>
      </w:r>
      <w:r w:rsidRPr="00B15B7C">
        <w:rPr>
          <w:rFonts w:ascii="Arial" w:eastAsia="Times New Roman" w:hAnsi="Arial" w:cs="Arial"/>
          <w:color w:val="000000" w:themeColor="text1"/>
          <w:kern w:val="0"/>
          <w:u w:val="single"/>
          <w:bdr w:val="none" w:sz="0" w:space="0" w:color="auto" w:frame="1"/>
          <w:shd w:val="clear" w:color="auto" w:fill="FFFFFF"/>
          <w:lang w:val="en-LV" w:eastAsia="en-GB"/>
          <w14:ligatures w14:val="none"/>
        </w:rPr>
        <w:t>Transportlīdzekļu apdrošinātāju biroja </w:t>
      </w:r>
      <w:r w:rsidRPr="00B15B7C">
        <w:rPr>
          <w:rFonts w:ascii="Arial" w:eastAsia="Times New Roman" w:hAnsi="Arial" w:cs="Arial"/>
          <w:color w:val="000000" w:themeColor="text1"/>
          <w:kern w:val="0"/>
          <w:u w:val="single"/>
          <w:bdr w:val="none" w:sz="0" w:space="0" w:color="auto" w:frame="1"/>
          <w:lang w:val="en-LV" w:eastAsia="en-GB"/>
          <w14:ligatures w14:val="none"/>
        </w:rPr>
        <w:t>sertificēts eksperts</w:t>
      </w:r>
      <w:r w:rsidRPr="00B15B7C">
        <w:rPr>
          <w:rFonts w:ascii="Arial" w:eastAsia="Times New Roman" w:hAnsi="Arial" w:cs="Arial"/>
          <w:color w:val="000000" w:themeColor="text1"/>
          <w:kern w:val="0"/>
          <w:bdr w:val="none" w:sz="0" w:space="0" w:color="auto" w:frame="1"/>
          <w:lang w:val="en-LV" w:eastAsia="en-GB"/>
          <w14:ligatures w14:val="none"/>
        </w:rPr>
        <w:t>", kā arī projekta 4. pantā paredzētajā OCTA likuma 37. panta piektajā daļā ir minēts termins "</w:t>
      </w:r>
      <w:r w:rsidRPr="00B15B7C">
        <w:rPr>
          <w:rFonts w:ascii="Arial" w:eastAsia="Times New Roman" w:hAnsi="Arial" w:cs="Arial"/>
          <w:color w:val="000000" w:themeColor="text1"/>
          <w:kern w:val="0"/>
          <w:u w:val="single"/>
          <w:bdr w:val="none" w:sz="0" w:space="0" w:color="auto" w:frame="1"/>
          <w:lang w:val="en-LV" w:eastAsia="en-GB"/>
          <w14:ligatures w14:val="none"/>
        </w:rPr>
        <w:t>transportlīdzekļa tehniskais eksperts</w:t>
      </w:r>
      <w:r w:rsidRPr="00B15B7C">
        <w:rPr>
          <w:rFonts w:ascii="Arial" w:eastAsia="Times New Roman" w:hAnsi="Arial" w:cs="Arial"/>
          <w:color w:val="000000" w:themeColor="text1"/>
          <w:kern w:val="0"/>
          <w:bdr w:val="none" w:sz="0" w:space="0" w:color="auto" w:frame="1"/>
          <w:lang w:val="en-LV" w:eastAsia="en-GB"/>
          <w14:ligatures w14:val="none"/>
        </w:rPr>
        <w:t>", lūdzam izvērtēt iepriekš minēto terminu lietošanu un nepieciešamības gadījumā attiecīgi precizēt projektu vai papildināt anotāciju ar atbilstošu skaidrojumu. Vienlaikus vēršam uzmanību uz to, ka atsauci par vārdkopas saīsinājuma lietošanu turpmākajā tekstā ietver vietā, kur pirmo reizi tiek lietota saīsināmā vārdkopa. </w:t>
      </w:r>
    </w:p>
    <w:p w14:paraId="36D4B065"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3. Ministru kabineta 2009. gada 3. februāra noteikumu Nr. 108 "Normatīvo aktu projektu sagatavošanas noteikumi" 62. punkts noteic, ka </w:t>
      </w:r>
      <w:r w:rsidRPr="00B15B7C">
        <w:rPr>
          <w:rFonts w:ascii="Arial" w:eastAsia="Times New Roman" w:hAnsi="Arial" w:cs="Arial"/>
          <w:color w:val="000000" w:themeColor="text1"/>
          <w:kern w:val="0"/>
          <w:u w:val="single"/>
          <w:bdr w:val="none" w:sz="0" w:space="0" w:color="auto" w:frame="1"/>
          <w:shd w:val="clear" w:color="auto" w:fill="FFFFFF"/>
          <w:lang w:val="en-LV" w:eastAsia="en-GB"/>
          <w14:ligatures w14:val="none"/>
        </w:rPr>
        <w:t>likumprojektā neietver atsauces uz zemāka juridiskā spēka normatīvo aktu</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Savukārt, piemēram, projekta 5. pantā paredzētajā OCTA likuma 37.</w:t>
      </w:r>
      <w:r w:rsidRPr="00B15B7C">
        <w:rPr>
          <w:rFonts w:ascii="Arial" w:eastAsia="Times New Roman" w:hAnsi="Arial" w:cs="Arial"/>
          <w:color w:val="000000" w:themeColor="text1"/>
          <w:kern w:val="0"/>
          <w:bdr w:val="none" w:sz="0" w:space="0" w:color="auto" w:frame="1"/>
          <w:shd w:val="clear" w:color="auto" w:fill="FFFFFF"/>
          <w:vertAlign w:val="superscript"/>
          <w:lang w:val="en-LV" w:eastAsia="en-GB"/>
          <w14:ligatures w14:val="none"/>
        </w:rPr>
        <w:t>3</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panta pirmajā un trešajā daļā un 37.</w:t>
      </w:r>
      <w:r w:rsidRPr="00B15B7C">
        <w:rPr>
          <w:rFonts w:ascii="Arial" w:eastAsia="Times New Roman" w:hAnsi="Arial" w:cs="Arial"/>
          <w:color w:val="000000" w:themeColor="text1"/>
          <w:kern w:val="0"/>
          <w:bdr w:val="none" w:sz="0" w:space="0" w:color="auto" w:frame="1"/>
          <w:shd w:val="clear" w:color="auto" w:fill="FFFFFF"/>
          <w:vertAlign w:val="superscript"/>
          <w:lang w:val="en-LV" w:eastAsia="en-GB"/>
          <w14:ligatures w14:val="none"/>
        </w:rPr>
        <w:t>4</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 panta pirmās daļas 1. punktā ir ietverta atsauce uz Ministru kabineta noteikumiem. Ievērojot minēto, lūdzam precizēt projektā paredzētajos grozījumos ietverto regulējumu. </w:t>
      </w:r>
    </w:p>
    <w:p w14:paraId="187FEB09"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4. Ievērojot, ka saskaņā ar Administratīvā procesa likuma 55. panta 1. punktu a</w:t>
      </w:r>
      <w:r w:rsidRPr="00B15B7C">
        <w:rPr>
          <w:rFonts w:ascii="Arial" w:eastAsia="Times New Roman" w:hAnsi="Arial" w:cs="Arial"/>
          <w:color w:val="000000" w:themeColor="text1"/>
          <w:kern w:val="0"/>
          <w:bdr w:val="none" w:sz="0" w:space="0" w:color="auto" w:frame="1"/>
          <w:lang w:val="en-LV" w:eastAsia="en-GB"/>
          <w14:ligatures w14:val="none"/>
        </w:rPr>
        <w:t>dministratīvo lietu iestādē ierosina </w:t>
      </w:r>
      <w:r w:rsidRPr="00B15B7C">
        <w:rPr>
          <w:rFonts w:ascii="Arial" w:eastAsia="Times New Roman" w:hAnsi="Arial" w:cs="Arial"/>
          <w:color w:val="000000" w:themeColor="text1"/>
          <w:kern w:val="0"/>
          <w:u w:val="single"/>
          <w:bdr w:val="none" w:sz="0" w:space="0" w:color="auto" w:frame="1"/>
          <w:lang w:val="en-LV" w:eastAsia="en-GB"/>
          <w14:ligatures w14:val="none"/>
        </w:rPr>
        <w:t>uz iesnieguma pamata</w:t>
      </w:r>
      <w:r w:rsidRPr="00B15B7C">
        <w:rPr>
          <w:rFonts w:ascii="Arial" w:eastAsia="Times New Roman" w:hAnsi="Arial" w:cs="Arial"/>
          <w:color w:val="000000" w:themeColor="text1"/>
          <w:kern w:val="0"/>
          <w:bdr w:val="none" w:sz="0" w:space="0" w:color="auto" w:frame="1"/>
          <w:lang w:val="en-LV" w:eastAsia="en-GB"/>
          <w14:ligatures w14:val="none"/>
        </w:rPr>
        <w:t>, lūdzam precizēt projekta 5. pantā paredzētajā OCTA likuma 37.</w:t>
      </w:r>
      <w:r w:rsidRPr="00B15B7C">
        <w:rPr>
          <w:rFonts w:ascii="Arial" w:eastAsia="Times New Roman" w:hAnsi="Arial" w:cs="Arial"/>
          <w:color w:val="000000" w:themeColor="text1"/>
          <w:kern w:val="0"/>
          <w:bdr w:val="none" w:sz="0" w:space="0" w:color="auto" w:frame="1"/>
          <w:vertAlign w:val="superscript"/>
          <w:lang w:val="en-LV" w:eastAsia="en-GB"/>
          <w14:ligatures w14:val="none"/>
        </w:rPr>
        <w:t>4</w:t>
      </w:r>
      <w:r w:rsidRPr="00B15B7C">
        <w:rPr>
          <w:rFonts w:ascii="Arial" w:eastAsia="Times New Roman" w:hAnsi="Arial" w:cs="Arial"/>
          <w:color w:val="000000" w:themeColor="text1"/>
          <w:kern w:val="0"/>
          <w:bdr w:val="none" w:sz="0" w:space="0" w:color="auto" w:frame="1"/>
          <w:lang w:val="en-LV" w:eastAsia="en-GB"/>
          <w14:ligatures w14:val="none"/>
        </w:rPr>
        <w:t> panta pirmās daļas 2. punktā ietverto regulējumu. </w:t>
      </w:r>
    </w:p>
    <w:p w14:paraId="7E6871A9"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5. </w:t>
      </w:r>
      <w:r w:rsidRPr="00B15B7C">
        <w:rPr>
          <w:rFonts w:ascii="Arial" w:eastAsia="Times New Roman" w:hAnsi="Arial" w:cs="Arial"/>
          <w:color w:val="000000" w:themeColor="text1"/>
          <w:kern w:val="0"/>
          <w:bdr w:val="none" w:sz="0" w:space="0" w:color="auto" w:frame="1"/>
          <w:lang w:val="en-LV" w:eastAsia="en-GB"/>
          <w14:ligatures w14:val="none"/>
        </w:rPr>
        <w:t xml:space="preserve">Izvērtējot projekta 10. pantā paredzētajā OCTA likuma 54. panta trešajā daļā ietverto regulējumu un anotācijas I sadaļas 2. punktā ietverto informāciju, konstatējams, ka Latvijas Transportlīdzekļu apdrošinātāju birojs vai apdrošinātājs, </w:t>
      </w:r>
      <w:r w:rsidRPr="00B15B7C">
        <w:rPr>
          <w:rFonts w:ascii="Arial" w:eastAsia="Times New Roman" w:hAnsi="Arial" w:cs="Arial"/>
          <w:color w:val="000000" w:themeColor="text1"/>
          <w:kern w:val="0"/>
          <w:bdr w:val="none" w:sz="0" w:space="0" w:color="auto" w:frame="1"/>
          <w:lang w:val="en-LV" w:eastAsia="en-GB"/>
          <w14:ligatures w14:val="none"/>
        </w:rPr>
        <w:lastRenderedPageBreak/>
        <w:t>kurš veicis sauszemes transportlīdzekļa īpašnieka civiltiesiskās atbildības obligāto apdrošināšanu (turpmāk visi kopā – apdrošinātāji), apstrādās īpašu kategoriju personas datus (veselības datus), kurus saņems no Veselības un darbspēju ekspertīzes ārstu valsts komisijas, lai saskaņā ar OCTA likumā noteiktajiem pienākumiem apdrošinātāji varētu izvērtēt cietušajai personai noteiktās invaliditātes cēloņsakarību ar ceļu satiksmes negadījumā gūtajām traumām un pieņemt lēmumu par apdrošināšanas atlīdzību. Vienlaikus no anotācijas I sadaļas 2. punktā ietvertās informācijas izriet, ka veselības datu apstrādes tiesiskais pamats ir Eiropas Parlamenta un Padomes 2016. gada 27. aprīļa regulas (ES) 2016/679 par fizisku personu aizsardzību attiecībā uz personas datu apstrādi un šādu datu brīvu apriti un ar ko atceļ direktīvu 95/46/EK (Vispārīgā datu aizsardzības regula) (turpmāk – Datu regula) 9. panta 2. punkta b) apakšpunkts, kurš cita starpā noteic, ka veselības datu apstrāde ir atļauta, ja tā ir vajadzīga, lai realizētu pārziņa pienākumus un īstenotu pārziņa vai datu subjekta konkrētas tiesības sociālās aizsardzības tiesību jomā, ciktāl to pieļauj Savienības vai dalībvalsts tiesību akti vai koplīgums atbilstīgi dalībvalsts tiesību aktiem, paredzot piemērotas garantijas datu subjekta pamattiesībām un interesēm. Tādējādi anotācijas I sadaļas 2. punktā norādīts, ka OCTA sistēmas efektīva darbība ir būtiska ceļu satiksmes negadījumos cietušo personu sociālajai aizsardzībai, proti, tā nodrošina ātru zaudējumu atlīdzību ceļu satiksmes negadījumos cietušo personu veselībai un mantai. </w:t>
      </w:r>
    </w:p>
    <w:p w14:paraId="07DD65D8" w14:textId="77777777" w:rsidR="00B15B7C" w:rsidRPr="00B15B7C" w:rsidRDefault="00B15B7C" w:rsidP="00B15B7C">
      <w:pPr>
        <w:shd w:val="clear" w:color="auto" w:fill="FFFFFF"/>
        <w:ind w:firstLine="720"/>
        <w:jc w:val="both"/>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Ievērojot minēto, vēršam uzmanību uz to, ka anotācijā nav atrodams skaidrojums par to, vai OCTA likuma mērķis atbilst sociālās aizsardzības tiesību jomai, kā arī nav sniegts skaidrojums, vai terminā "sociālā aizsardzība" var ietvert apdrošināšanas atlīdzības izmaksas, kad cietusī persona gūst traumas, tādējādi paredzot apdrošinātājiem tiesības apstrādāt veselības datus, kā rezultātā pieņemt lēmumu par apdrošināšanas atlīdzību. Līdz ar to šobrīd nevar izdarīt secinājumu par Datu regulas 9. panta 2. punkta b) apakšpunktā ietvertā pamatojuma atbilstību veselības datu apstrādei, ko realizēs apdrošinātāji. </w:t>
      </w:r>
    </w:p>
    <w:p w14:paraId="5398D646" w14:textId="77777777" w:rsidR="00B15B7C" w:rsidRPr="00B15B7C" w:rsidRDefault="00B15B7C" w:rsidP="00B15B7C">
      <w:pPr>
        <w:shd w:val="clear" w:color="auto" w:fill="FFFFFF"/>
        <w:ind w:firstLine="720"/>
        <w:jc w:val="both"/>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Ievērojot minēto, secināms, ka apdrošinātāju tiesības apstrādāt veselības datus, kas izriet no projekta 10. pantā paredzētās OCTA likuma 54. panta trešās daļas, joprojām ir apšaubāmas. Līdz ar to lūdzam attiecīgi precizēt anotācijā ietverto informāciju, kā arī nepieciešamības gadījumā precizēt projektu. Vienlaikus aicinām minētā jautājuma risināšanā iesaistīt Labklājības ministriju, ņemot vērā to, ka šī iestāde ir vadošā valsts iestāde sociālās aizsardzības tiesību jomā. </w:t>
      </w:r>
    </w:p>
    <w:p w14:paraId="29612E39"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Vienlaikus izsakām šādus priekšlikumus: </w:t>
      </w:r>
    </w:p>
    <w:p w14:paraId="1036FEAD" w14:textId="77777777" w:rsidR="00B15B7C" w:rsidRPr="00B15B7C" w:rsidRDefault="00B15B7C" w:rsidP="00B15B7C">
      <w:pPr>
        <w:ind w:firstLine="720"/>
        <w:jc w:val="both"/>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1. Lūdzam precizēt projekta 2. un 5. panta ievaddaļu, kā arī projekta 6. panta otrās daļas ievaddaļu atbilstoši </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Ministru kabineta 2009. gada 3. februāra noteikumu Nr. 108 "Normatīvo aktu projektu sagatavošanas noteikumi" 75.2. apakšpunktā noteiktajām prasībām.</w:t>
      </w:r>
      <w:r w:rsidRPr="00B15B7C">
        <w:rPr>
          <w:rFonts w:ascii="Arial" w:eastAsia="Times New Roman" w:hAnsi="Arial" w:cs="Arial"/>
          <w:color w:val="000000" w:themeColor="text1"/>
          <w:kern w:val="0"/>
          <w:bdr w:val="none" w:sz="0" w:space="0" w:color="auto" w:frame="1"/>
          <w:lang w:val="en-LV" w:eastAsia="en-GB"/>
          <w14:ligatures w14:val="none"/>
        </w:rPr>
        <w:t> </w:t>
      </w:r>
    </w:p>
    <w:p w14:paraId="28D4EEA4"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2. Ievērojot, ka Profesionālās izglītības likumā tiek lietots termins "profesionālā vidējā izglītība" un "profesionālā augstākā izglītība", lūdzam precizēt projekta 5. pantā paredzētajā OCTA likuma 37.</w:t>
      </w:r>
      <w:r w:rsidRPr="00B15B7C">
        <w:rPr>
          <w:rFonts w:ascii="Arial" w:eastAsia="Times New Roman" w:hAnsi="Arial" w:cs="Arial"/>
          <w:color w:val="000000" w:themeColor="text1"/>
          <w:kern w:val="0"/>
          <w:bdr w:val="none" w:sz="0" w:space="0" w:color="auto" w:frame="1"/>
          <w:vertAlign w:val="superscript"/>
          <w:lang w:val="en-LV" w:eastAsia="en-GB"/>
          <w14:ligatures w14:val="none"/>
        </w:rPr>
        <w:t>1</w:t>
      </w:r>
      <w:r w:rsidRPr="00B15B7C">
        <w:rPr>
          <w:rFonts w:ascii="Arial" w:eastAsia="Times New Roman" w:hAnsi="Arial" w:cs="Arial"/>
          <w:color w:val="000000" w:themeColor="text1"/>
          <w:kern w:val="0"/>
          <w:bdr w:val="none" w:sz="0" w:space="0" w:color="auto" w:frame="1"/>
          <w:lang w:val="en-LV" w:eastAsia="en-GB"/>
          <w14:ligatures w14:val="none"/>
        </w:rPr>
        <w:t> panta pirmās daļas 1. punkta a) un b) apakšpunktā ietverto regulējumu. </w:t>
      </w:r>
    </w:p>
    <w:p w14:paraId="0BD3E179"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3. Ievērojot, ka šobrīd spēkā esošajā OCTA likuma 47. pantā nav daļu, lūdzam papildināt projekta 8. pantu ar attiecīgu grozījumu. </w:t>
      </w:r>
    </w:p>
    <w:p w14:paraId="5A7D94E7"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4. Lūdzam papildināt anotāciju ar izvērstu skaidrojumu par projekta 6. un 8. pantā paredzētajiem grozījumiem. </w:t>
      </w:r>
    </w:p>
    <w:p w14:paraId="1EC659BB" w14:textId="77777777" w:rsidR="00B15B7C" w:rsidRPr="00B15B7C" w:rsidRDefault="00B15B7C" w:rsidP="00B15B7C">
      <w:pPr>
        <w:ind w:firstLine="720"/>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t>5. </w:t>
      </w:r>
      <w:r w:rsidRPr="00B15B7C">
        <w:rPr>
          <w:rFonts w:ascii="Arial" w:eastAsia="Times New Roman" w:hAnsi="Arial" w:cs="Arial"/>
          <w:color w:val="000000" w:themeColor="text1"/>
          <w:kern w:val="0"/>
          <w:bdr w:val="none" w:sz="0" w:space="0" w:color="auto" w:frame="1"/>
          <w:shd w:val="clear" w:color="auto" w:fill="FFFFFF"/>
          <w:lang w:val="en-LV" w:eastAsia="en-GB"/>
          <w14:ligatures w14:val="none"/>
        </w:rPr>
        <w:t>Lūdzam aizpildīt anotācijas IV sadaļas 1. punktu atbilstoši </w:t>
      </w:r>
      <w:r w:rsidRPr="00B15B7C">
        <w:rPr>
          <w:rFonts w:ascii="Arial" w:eastAsia="Times New Roman" w:hAnsi="Arial" w:cs="Arial"/>
          <w:color w:val="000000" w:themeColor="text1"/>
          <w:kern w:val="0"/>
          <w:bdr w:val="none" w:sz="0" w:space="0" w:color="auto" w:frame="1"/>
          <w:shd w:val="clear" w:color="auto" w:fill="FDFCFD"/>
          <w:lang w:val="en-LV" w:eastAsia="en-GB"/>
          <w14:ligatures w14:val="none"/>
        </w:rPr>
        <w:t>Ministru kabineta 2009. gada 15. decembra instrukcijas Nr. 19 "Tiesību akta projekta sākotnējās ietekmes izvērtēšanas kārtība" 54.1. apakšpunktā noteiktajām prasībām.</w:t>
      </w:r>
      <w:r w:rsidRPr="00B15B7C">
        <w:rPr>
          <w:rFonts w:ascii="Arial" w:eastAsia="Times New Roman" w:hAnsi="Arial" w:cs="Arial"/>
          <w:color w:val="000000" w:themeColor="text1"/>
          <w:kern w:val="0"/>
          <w:bdr w:val="none" w:sz="0" w:space="0" w:color="auto" w:frame="1"/>
          <w:lang w:val="en-LV" w:eastAsia="en-GB"/>
          <w14:ligatures w14:val="none"/>
        </w:rPr>
        <w:t> </w:t>
      </w:r>
    </w:p>
    <w:p w14:paraId="3A6D1F6B" w14:textId="77777777" w:rsidR="00B15B7C" w:rsidRPr="00B15B7C" w:rsidRDefault="00B15B7C" w:rsidP="00B15B7C">
      <w:pPr>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bdr w:val="none" w:sz="0" w:space="0" w:color="auto" w:frame="1"/>
          <w:lang w:val="en-LV" w:eastAsia="en-GB"/>
          <w14:ligatures w14:val="none"/>
        </w:rPr>
        <w:lastRenderedPageBreak/>
        <w:t> </w:t>
      </w:r>
    </w:p>
    <w:p w14:paraId="075B2677" w14:textId="77777777" w:rsidR="00B15B7C" w:rsidRPr="00B15B7C" w:rsidRDefault="00B15B7C" w:rsidP="00B15B7C">
      <w:pPr>
        <w:shd w:val="clear" w:color="auto" w:fill="FFFFFF"/>
        <w:jc w:val="both"/>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Ar cieņu</w:t>
      </w:r>
      <w:r w:rsidRPr="00B15B7C">
        <w:rPr>
          <w:rFonts w:ascii="Arial" w:eastAsia="Times New Roman" w:hAnsi="Arial" w:cs="Arial"/>
          <w:color w:val="000000" w:themeColor="text1"/>
          <w:kern w:val="0"/>
          <w:sz w:val="22"/>
          <w:szCs w:val="22"/>
          <w:bdr w:val="none" w:sz="0" w:space="0" w:color="auto" w:frame="1"/>
          <w:lang w:val="en-LV" w:eastAsia="en-GB"/>
          <w14:ligatures w14:val="none"/>
        </w:rPr>
        <w:t> </w:t>
      </w:r>
    </w:p>
    <w:p w14:paraId="4EDF477F"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Ilze Māliņa</w:t>
      </w:r>
      <w:r w:rsidRPr="00B15B7C">
        <w:rPr>
          <w:rFonts w:ascii="Arial" w:eastAsia="Times New Roman" w:hAnsi="Arial" w:cs="Arial"/>
          <w:color w:val="000000" w:themeColor="text1"/>
          <w:kern w:val="0"/>
          <w:sz w:val="22"/>
          <w:szCs w:val="22"/>
          <w:bdr w:val="none" w:sz="0" w:space="0" w:color="auto" w:frame="1"/>
          <w:lang w:val="en-LV" w:eastAsia="en-GB"/>
          <w14:ligatures w14:val="none"/>
        </w:rPr>
        <w:t> </w:t>
      </w:r>
    </w:p>
    <w:p w14:paraId="66C6A9AD"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Tieslietu ministrijas</w:t>
      </w:r>
      <w:r w:rsidRPr="00B15B7C">
        <w:rPr>
          <w:rFonts w:ascii="Arial" w:eastAsia="Times New Roman" w:hAnsi="Arial" w:cs="Arial"/>
          <w:color w:val="000000" w:themeColor="text1"/>
          <w:kern w:val="0"/>
          <w:sz w:val="22"/>
          <w:szCs w:val="22"/>
          <w:bdr w:val="none" w:sz="0" w:space="0" w:color="auto" w:frame="1"/>
          <w:lang w:val="en-LV" w:eastAsia="en-GB"/>
          <w14:ligatures w14:val="none"/>
        </w:rPr>
        <w:t> </w:t>
      </w:r>
    </w:p>
    <w:p w14:paraId="6E684A2E"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Valststiesību departamenta</w:t>
      </w:r>
      <w:r w:rsidRPr="00B15B7C">
        <w:rPr>
          <w:rFonts w:ascii="Arial" w:eastAsia="Times New Roman" w:hAnsi="Arial" w:cs="Arial"/>
          <w:color w:val="000000" w:themeColor="text1"/>
          <w:kern w:val="0"/>
          <w:sz w:val="22"/>
          <w:szCs w:val="22"/>
          <w:bdr w:val="none" w:sz="0" w:space="0" w:color="auto" w:frame="1"/>
          <w:lang w:val="en-LV" w:eastAsia="en-GB"/>
          <w14:ligatures w14:val="none"/>
        </w:rPr>
        <w:t> </w:t>
      </w:r>
    </w:p>
    <w:p w14:paraId="31F2BBFA"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Administratīvo tiesību nodaļas juriste</w:t>
      </w:r>
      <w:r w:rsidRPr="00B15B7C">
        <w:rPr>
          <w:rFonts w:ascii="Arial" w:eastAsia="Times New Roman" w:hAnsi="Arial" w:cs="Arial"/>
          <w:color w:val="000000" w:themeColor="text1"/>
          <w:kern w:val="0"/>
          <w:sz w:val="22"/>
          <w:szCs w:val="22"/>
          <w:bdr w:val="none" w:sz="0" w:space="0" w:color="auto" w:frame="1"/>
          <w:lang w:val="en-LV" w:eastAsia="en-GB"/>
          <w14:ligatures w14:val="none"/>
        </w:rPr>
        <w:t> </w:t>
      </w:r>
    </w:p>
    <w:p w14:paraId="482223A3"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tālr. 67036910</w:t>
      </w:r>
      <w:r w:rsidRPr="00B15B7C">
        <w:rPr>
          <w:rFonts w:ascii="Arial" w:eastAsia="Times New Roman" w:hAnsi="Arial" w:cs="Arial"/>
          <w:color w:val="000000" w:themeColor="text1"/>
          <w:kern w:val="0"/>
          <w:sz w:val="22"/>
          <w:szCs w:val="22"/>
          <w:bdr w:val="none" w:sz="0" w:space="0" w:color="auto" w:frame="1"/>
          <w:lang w:val="en-LV" w:eastAsia="en-GB"/>
          <w14:ligatures w14:val="none"/>
        </w:rPr>
        <w:t> </w:t>
      </w:r>
    </w:p>
    <w:p w14:paraId="60BDF86F"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Juridiskā adrese: Brīvības bulvārī 36, Rīgā, LV-1536</w:t>
      </w:r>
      <w:r w:rsidRPr="00B15B7C">
        <w:rPr>
          <w:rFonts w:ascii="Arial" w:eastAsia="Times New Roman" w:hAnsi="Arial" w:cs="Arial"/>
          <w:color w:val="000000" w:themeColor="text1"/>
          <w:kern w:val="0"/>
          <w:sz w:val="22"/>
          <w:szCs w:val="22"/>
          <w:bdr w:val="none" w:sz="0" w:space="0" w:color="auto" w:frame="1"/>
          <w:lang w:val="en-LV" w:eastAsia="en-GB"/>
          <w14:ligatures w14:val="none"/>
        </w:rPr>
        <w:t> </w:t>
      </w:r>
    </w:p>
    <w:p w14:paraId="72F09A74"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Atrašanās vieta: Raiņa bulvārī 15, Rīgā, LV-1050 </w:t>
      </w:r>
    </w:p>
    <w:p w14:paraId="13625612"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 </w:t>
      </w:r>
    </w:p>
    <w:p w14:paraId="3E8CA2D1"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spacing w:val="4"/>
          <w:kern w:val="0"/>
          <w:sz w:val="20"/>
          <w:szCs w:val="20"/>
          <w:bdr w:val="none" w:sz="0" w:space="0" w:color="auto" w:frame="1"/>
          <w:lang w:val="en-LV" w:eastAsia="en-GB"/>
          <w14:ligatures w14:val="none"/>
        </w:rPr>
        <w:t>Arnis Slesars</w:t>
      </w:r>
      <w:r w:rsidRPr="00B15B7C">
        <w:rPr>
          <w:rFonts w:ascii="Arial" w:eastAsia="Times New Roman" w:hAnsi="Arial" w:cs="Arial"/>
          <w:color w:val="000000" w:themeColor="text1"/>
          <w:kern w:val="0"/>
          <w:sz w:val="20"/>
          <w:szCs w:val="20"/>
          <w:bdr w:val="none" w:sz="0" w:space="0" w:color="auto" w:frame="1"/>
          <w:lang w:val="en-LV" w:eastAsia="en-GB"/>
          <w14:ligatures w14:val="none"/>
        </w:rPr>
        <w:t> </w:t>
      </w:r>
    </w:p>
    <w:p w14:paraId="344F0132"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Tieslietu ministrijas </w:t>
      </w:r>
    </w:p>
    <w:p w14:paraId="55EDA9C3"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Nozaru politikas departamenta </w:t>
      </w:r>
    </w:p>
    <w:p w14:paraId="19968C70"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Politikas izstrādes un reliģijas lietu nodaļas jurists </w:t>
      </w:r>
    </w:p>
    <w:p w14:paraId="3F965C0F"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tālr. 67046133 </w:t>
      </w:r>
    </w:p>
    <w:p w14:paraId="06568E35" w14:textId="77777777" w:rsidR="00B15B7C" w:rsidRPr="00B15B7C" w:rsidRDefault="00B15B7C" w:rsidP="00B15B7C">
      <w:pPr>
        <w:shd w:val="clear" w:color="auto" w:fill="FFFFFF"/>
        <w:textAlignment w:val="baseline"/>
        <w:rPr>
          <w:rFonts w:ascii="Arial" w:eastAsia="Times New Roman" w:hAnsi="Arial" w:cs="Arial"/>
          <w:color w:val="000000" w:themeColor="text1"/>
          <w:kern w:val="0"/>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Juridiskā adrese: Brīvības bulvārī 36, Rīgā, LV-1536 </w:t>
      </w:r>
    </w:p>
    <w:p w14:paraId="419A4A2A" w14:textId="77777777" w:rsidR="00B15B7C" w:rsidRPr="00B15B7C" w:rsidRDefault="00B15B7C" w:rsidP="00B15B7C">
      <w:pPr>
        <w:jc w:val="both"/>
        <w:textAlignment w:val="baseline"/>
        <w:rPr>
          <w:rFonts w:ascii="Arial" w:eastAsia="Times New Roman" w:hAnsi="Arial" w:cs="Arial"/>
          <w:color w:val="000000" w:themeColor="text1"/>
          <w:kern w:val="0"/>
          <w:sz w:val="22"/>
          <w:szCs w:val="22"/>
          <w:lang w:val="en-LV" w:eastAsia="en-GB"/>
          <w14:ligatures w14:val="none"/>
        </w:rPr>
      </w:pPr>
      <w:r w:rsidRPr="00B15B7C">
        <w:rPr>
          <w:rFonts w:ascii="Arial" w:eastAsia="Times New Roman" w:hAnsi="Arial" w:cs="Arial"/>
          <w:color w:val="000000" w:themeColor="text1"/>
          <w:kern w:val="0"/>
          <w:sz w:val="20"/>
          <w:szCs w:val="20"/>
          <w:bdr w:val="none" w:sz="0" w:space="0" w:color="auto" w:frame="1"/>
          <w:lang w:val="en-LV" w:eastAsia="en-GB"/>
          <w14:ligatures w14:val="none"/>
        </w:rPr>
        <w:t>Atrašanās vieta: Raiņa bulvārī 15, Rīgā, LV-1050 </w:t>
      </w:r>
    </w:p>
    <w:p w14:paraId="571C0EF7" w14:textId="77777777" w:rsidR="00B15B7C" w:rsidRPr="00B15B7C" w:rsidRDefault="00B15B7C" w:rsidP="00B15B7C">
      <w:pPr>
        <w:textAlignment w:val="baseline"/>
        <w:rPr>
          <w:rFonts w:ascii="Arial" w:eastAsia="Times New Roman" w:hAnsi="Arial" w:cs="Arial"/>
          <w:color w:val="000000" w:themeColor="text1"/>
          <w:kern w:val="0"/>
          <w:lang w:val="en-LV" w:eastAsia="en-GB"/>
          <w14:ligatures w14:val="none"/>
        </w:rPr>
      </w:pPr>
    </w:p>
    <w:p w14:paraId="447C5819" w14:textId="6073A784" w:rsidR="00B15B7C" w:rsidRPr="00B15B7C" w:rsidRDefault="00B15B7C" w:rsidP="00B15B7C">
      <w:pPr>
        <w:textAlignment w:val="baseline"/>
        <w:rPr>
          <w:rFonts w:ascii="Arial" w:eastAsia="Times New Roman" w:hAnsi="Arial" w:cs="Arial"/>
          <w:color w:val="000000" w:themeColor="text1"/>
          <w:kern w:val="0"/>
          <w:lang w:val="en-US" w:eastAsia="en-GB"/>
          <w14:ligatures w14:val="none"/>
        </w:rPr>
      </w:pPr>
    </w:p>
    <w:p w14:paraId="714C8681" w14:textId="77777777" w:rsidR="00B15B7C" w:rsidRPr="00B15B7C" w:rsidRDefault="00B15B7C" w:rsidP="00B15B7C">
      <w:pPr>
        <w:textAlignment w:val="baseline"/>
        <w:rPr>
          <w:rFonts w:ascii="Arial" w:eastAsia="Times New Roman" w:hAnsi="Arial" w:cs="Arial"/>
          <w:color w:val="000000" w:themeColor="text1"/>
          <w:kern w:val="0"/>
          <w:lang w:val="en-LV" w:eastAsia="en-GB"/>
          <w14:ligatures w14:val="none"/>
        </w:rPr>
      </w:pPr>
    </w:p>
    <w:p w14:paraId="1FD0F163" w14:textId="77777777" w:rsidR="00B15B7C" w:rsidRPr="00B15B7C" w:rsidRDefault="00B15B7C" w:rsidP="00B15B7C">
      <w:pPr>
        <w:textAlignment w:val="baseline"/>
        <w:rPr>
          <w:rFonts w:ascii="Arial" w:eastAsia="Times New Roman" w:hAnsi="Arial" w:cs="Arial"/>
          <w:color w:val="000000" w:themeColor="text1"/>
          <w:kern w:val="0"/>
          <w:lang w:val="en-LV" w:eastAsia="en-GB"/>
          <w14:ligatures w14:val="none"/>
        </w:rPr>
      </w:pPr>
    </w:p>
    <w:p w14:paraId="2DC91372" w14:textId="77777777" w:rsidR="00B15B7C" w:rsidRPr="00B15B7C" w:rsidRDefault="00B15B7C" w:rsidP="00B15B7C">
      <w:pPr>
        <w:textAlignment w:val="baseline"/>
        <w:rPr>
          <w:rFonts w:ascii="Arial" w:eastAsia="Times New Roman" w:hAnsi="Arial" w:cs="Arial"/>
          <w:color w:val="000000" w:themeColor="text1"/>
          <w:kern w:val="0"/>
          <w:lang w:val="en-LV" w:eastAsia="en-GB"/>
          <w14:ligatures w14:val="none"/>
        </w:rPr>
      </w:pPr>
    </w:p>
    <w:p w14:paraId="6874193C" w14:textId="77777777" w:rsidR="001008E9" w:rsidRPr="00B15B7C" w:rsidRDefault="00000000">
      <w:pPr>
        <w:rPr>
          <w:rFonts w:ascii="Arial" w:hAnsi="Arial" w:cs="Arial"/>
          <w:color w:val="000000" w:themeColor="text1"/>
        </w:rPr>
      </w:pPr>
    </w:p>
    <w:sectPr w:rsidR="001008E9" w:rsidRPr="00B15B7C"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7C"/>
    <w:rsid w:val="00177D7C"/>
    <w:rsid w:val="003922C6"/>
    <w:rsid w:val="003D48B8"/>
    <w:rsid w:val="00821BED"/>
    <w:rsid w:val="00A0310F"/>
    <w:rsid w:val="00B15B7C"/>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15F5"/>
  <w15:chartTrackingRefBased/>
  <w15:docId w15:val="{D8DF447E-D27B-8543-9897-B586E429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15B7C"/>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B15B7C"/>
    <w:rPr>
      <w:color w:val="0000FF"/>
      <w:u w:val="single"/>
    </w:rPr>
  </w:style>
  <w:style w:type="paragraph" w:customStyle="1" w:styleId="xmsonospacing">
    <w:name w:val="x_msonospacing"/>
    <w:basedOn w:val="Normal"/>
    <w:rsid w:val="00B15B7C"/>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msonormal">
    <w:name w:val="x_msonormal"/>
    <w:basedOn w:val="Normal"/>
    <w:rsid w:val="00B15B7C"/>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xmsonormal">
    <w:name w:val="x_xxmsonormal"/>
    <w:basedOn w:val="Normal"/>
    <w:rsid w:val="00B15B7C"/>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msonormal">
    <w:name w:val="x_x_msonormal"/>
    <w:basedOn w:val="Normal"/>
    <w:rsid w:val="00B15B7C"/>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styleId="NormalWeb">
    <w:name w:val="Normal (Web)"/>
    <w:basedOn w:val="Normal"/>
    <w:uiPriority w:val="99"/>
    <w:semiHidden/>
    <w:unhideWhenUsed/>
    <w:rsid w:val="00B15B7C"/>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xxmsonormal">
    <w:name w:val="x_x_x_x_msonormal"/>
    <w:basedOn w:val="Normal"/>
    <w:rsid w:val="00B15B7C"/>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customStyle="1" w:styleId="xxxxspelle">
    <w:name w:val="x_x_x_x_spelle"/>
    <w:basedOn w:val="DefaultParagraphFont"/>
    <w:rsid w:val="00B15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650077">
      <w:bodyDiv w:val="1"/>
      <w:marLeft w:val="0"/>
      <w:marRight w:val="0"/>
      <w:marTop w:val="0"/>
      <w:marBottom w:val="0"/>
      <w:divBdr>
        <w:top w:val="none" w:sz="0" w:space="0" w:color="auto"/>
        <w:left w:val="none" w:sz="0" w:space="0" w:color="auto"/>
        <w:bottom w:val="none" w:sz="0" w:space="0" w:color="auto"/>
        <w:right w:val="none" w:sz="0" w:space="0" w:color="auto"/>
      </w:divBdr>
      <w:divsChild>
        <w:div w:id="923421408">
          <w:marLeft w:val="0"/>
          <w:marRight w:val="0"/>
          <w:marTop w:val="0"/>
          <w:marBottom w:val="0"/>
          <w:divBdr>
            <w:top w:val="none" w:sz="0" w:space="0" w:color="auto"/>
            <w:left w:val="none" w:sz="0" w:space="0" w:color="auto"/>
            <w:bottom w:val="none" w:sz="0" w:space="0" w:color="auto"/>
            <w:right w:val="none" w:sz="0" w:space="0" w:color="auto"/>
          </w:divBdr>
          <w:divsChild>
            <w:div w:id="1434595402">
              <w:marLeft w:val="0"/>
              <w:marRight w:val="0"/>
              <w:marTop w:val="0"/>
              <w:marBottom w:val="0"/>
              <w:divBdr>
                <w:top w:val="none" w:sz="0" w:space="0" w:color="auto"/>
                <w:left w:val="none" w:sz="0" w:space="0" w:color="auto"/>
                <w:bottom w:val="none" w:sz="0" w:space="0" w:color="auto"/>
                <w:right w:val="none" w:sz="0" w:space="0" w:color="auto"/>
              </w:divBdr>
            </w:div>
            <w:div w:id="357971212">
              <w:marLeft w:val="0"/>
              <w:marRight w:val="0"/>
              <w:marTop w:val="0"/>
              <w:marBottom w:val="0"/>
              <w:divBdr>
                <w:top w:val="none" w:sz="0" w:space="0" w:color="auto"/>
                <w:left w:val="none" w:sz="0" w:space="0" w:color="auto"/>
                <w:bottom w:val="none" w:sz="0" w:space="0" w:color="auto"/>
                <w:right w:val="none" w:sz="0" w:space="0" w:color="auto"/>
              </w:divBdr>
              <w:divsChild>
                <w:div w:id="5920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89614">
          <w:marLeft w:val="0"/>
          <w:marRight w:val="0"/>
          <w:marTop w:val="0"/>
          <w:marBottom w:val="0"/>
          <w:divBdr>
            <w:top w:val="none" w:sz="0" w:space="0" w:color="auto"/>
            <w:left w:val="none" w:sz="0" w:space="0" w:color="auto"/>
            <w:bottom w:val="none" w:sz="0" w:space="0" w:color="auto"/>
            <w:right w:val="none" w:sz="0" w:space="0" w:color="auto"/>
          </w:divBdr>
        </w:div>
        <w:div w:id="815073605">
          <w:marLeft w:val="0"/>
          <w:marRight w:val="0"/>
          <w:marTop w:val="0"/>
          <w:marBottom w:val="0"/>
          <w:divBdr>
            <w:top w:val="none" w:sz="0" w:space="0" w:color="auto"/>
            <w:left w:val="none" w:sz="0" w:space="0" w:color="auto"/>
            <w:bottom w:val="none" w:sz="0" w:space="0" w:color="auto"/>
            <w:right w:val="none" w:sz="0" w:space="0" w:color="auto"/>
          </w:divBdr>
          <w:divsChild>
            <w:div w:id="720516858">
              <w:marLeft w:val="0"/>
              <w:marRight w:val="0"/>
              <w:marTop w:val="0"/>
              <w:marBottom w:val="0"/>
              <w:divBdr>
                <w:top w:val="none" w:sz="0" w:space="0" w:color="auto"/>
                <w:left w:val="none" w:sz="0" w:space="0" w:color="auto"/>
                <w:bottom w:val="none" w:sz="0" w:space="0" w:color="auto"/>
                <w:right w:val="none" w:sz="0" w:space="0" w:color="auto"/>
              </w:divBdr>
            </w:div>
          </w:divsChild>
        </w:div>
        <w:div w:id="620653108">
          <w:marLeft w:val="0"/>
          <w:marRight w:val="0"/>
          <w:marTop w:val="0"/>
          <w:marBottom w:val="0"/>
          <w:divBdr>
            <w:top w:val="none" w:sz="0" w:space="0" w:color="auto"/>
            <w:left w:val="none" w:sz="0" w:space="0" w:color="auto"/>
            <w:bottom w:val="none" w:sz="0" w:space="0" w:color="auto"/>
            <w:right w:val="none" w:sz="0" w:space="0" w:color="auto"/>
          </w:divBdr>
          <w:divsChild>
            <w:div w:id="592250940">
              <w:marLeft w:val="0"/>
              <w:marRight w:val="0"/>
              <w:marTop w:val="0"/>
              <w:marBottom w:val="0"/>
              <w:divBdr>
                <w:top w:val="none" w:sz="0" w:space="0" w:color="auto"/>
                <w:left w:val="none" w:sz="0" w:space="0" w:color="auto"/>
                <w:bottom w:val="none" w:sz="0" w:space="0" w:color="auto"/>
                <w:right w:val="none" w:sz="0" w:space="0" w:color="auto"/>
              </w:divBdr>
              <w:divsChild>
                <w:div w:id="740058706">
                  <w:marLeft w:val="0"/>
                  <w:marRight w:val="0"/>
                  <w:marTop w:val="0"/>
                  <w:marBottom w:val="0"/>
                  <w:divBdr>
                    <w:top w:val="none" w:sz="0" w:space="0" w:color="auto"/>
                    <w:left w:val="none" w:sz="0" w:space="0" w:color="auto"/>
                    <w:bottom w:val="none" w:sz="0" w:space="0" w:color="auto"/>
                    <w:right w:val="none" w:sz="0" w:space="0" w:color="auto"/>
                  </w:divBdr>
                </w:div>
                <w:div w:id="191118398">
                  <w:marLeft w:val="0"/>
                  <w:marRight w:val="0"/>
                  <w:marTop w:val="0"/>
                  <w:marBottom w:val="0"/>
                  <w:divBdr>
                    <w:top w:val="none" w:sz="0" w:space="0" w:color="auto"/>
                    <w:left w:val="none" w:sz="0" w:space="0" w:color="auto"/>
                    <w:bottom w:val="none" w:sz="0" w:space="0" w:color="auto"/>
                    <w:right w:val="none" w:sz="0" w:space="0" w:color="auto"/>
                  </w:divBdr>
                  <w:divsChild>
                    <w:div w:id="1948197454">
                      <w:marLeft w:val="0"/>
                      <w:marRight w:val="0"/>
                      <w:marTop w:val="0"/>
                      <w:marBottom w:val="0"/>
                      <w:divBdr>
                        <w:top w:val="none" w:sz="0" w:space="0" w:color="auto"/>
                        <w:left w:val="none" w:sz="0" w:space="0" w:color="auto"/>
                        <w:bottom w:val="none" w:sz="0" w:space="0" w:color="auto"/>
                        <w:right w:val="none" w:sz="0" w:space="0" w:color="auto"/>
                      </w:divBdr>
                    </w:div>
                  </w:divsChild>
                </w:div>
                <w:div w:id="1711414869">
                  <w:marLeft w:val="0"/>
                  <w:marRight w:val="0"/>
                  <w:marTop w:val="0"/>
                  <w:marBottom w:val="0"/>
                  <w:divBdr>
                    <w:top w:val="none" w:sz="0" w:space="0" w:color="auto"/>
                    <w:left w:val="none" w:sz="0" w:space="0" w:color="auto"/>
                    <w:bottom w:val="none" w:sz="0" w:space="0" w:color="auto"/>
                    <w:right w:val="none" w:sz="0" w:space="0" w:color="auto"/>
                  </w:divBdr>
                  <w:divsChild>
                    <w:div w:id="611714171">
                      <w:marLeft w:val="0"/>
                      <w:marRight w:val="0"/>
                      <w:marTop w:val="0"/>
                      <w:marBottom w:val="0"/>
                      <w:divBdr>
                        <w:top w:val="none" w:sz="0" w:space="0" w:color="auto"/>
                        <w:left w:val="none" w:sz="0" w:space="0" w:color="auto"/>
                        <w:bottom w:val="none" w:sz="0" w:space="0" w:color="auto"/>
                        <w:right w:val="none" w:sz="0" w:space="0" w:color="auto"/>
                      </w:divBdr>
                    </w:div>
                    <w:div w:id="1470826095">
                      <w:marLeft w:val="0"/>
                      <w:marRight w:val="0"/>
                      <w:marTop w:val="0"/>
                      <w:marBottom w:val="0"/>
                      <w:divBdr>
                        <w:top w:val="none" w:sz="0" w:space="0" w:color="auto"/>
                        <w:left w:val="none" w:sz="0" w:space="0" w:color="auto"/>
                        <w:bottom w:val="none" w:sz="0" w:space="0" w:color="auto"/>
                        <w:right w:val="none" w:sz="0" w:space="0" w:color="auto"/>
                      </w:divBdr>
                      <w:divsChild>
                        <w:div w:id="1444298842">
                          <w:marLeft w:val="0"/>
                          <w:marRight w:val="0"/>
                          <w:marTop w:val="0"/>
                          <w:marBottom w:val="0"/>
                          <w:divBdr>
                            <w:top w:val="none" w:sz="0" w:space="0" w:color="auto"/>
                            <w:left w:val="none" w:sz="0" w:space="0" w:color="auto"/>
                            <w:bottom w:val="none" w:sz="0" w:space="0" w:color="auto"/>
                            <w:right w:val="none" w:sz="0" w:space="0" w:color="auto"/>
                          </w:divBdr>
                          <w:divsChild>
                            <w:div w:id="1134757949">
                              <w:marLeft w:val="0"/>
                              <w:marRight w:val="0"/>
                              <w:marTop w:val="0"/>
                              <w:marBottom w:val="0"/>
                              <w:divBdr>
                                <w:top w:val="none" w:sz="0" w:space="0" w:color="auto"/>
                                <w:left w:val="none" w:sz="0" w:space="0" w:color="auto"/>
                                <w:bottom w:val="none" w:sz="0" w:space="0" w:color="auto"/>
                                <w:right w:val="none" w:sz="0" w:space="0" w:color="auto"/>
                              </w:divBdr>
                            </w:div>
                            <w:div w:id="158543490">
                              <w:marLeft w:val="0"/>
                              <w:marRight w:val="0"/>
                              <w:marTop w:val="0"/>
                              <w:marBottom w:val="0"/>
                              <w:divBdr>
                                <w:top w:val="none" w:sz="0" w:space="0" w:color="auto"/>
                                <w:left w:val="none" w:sz="0" w:space="0" w:color="auto"/>
                                <w:bottom w:val="none" w:sz="0" w:space="0" w:color="auto"/>
                                <w:right w:val="none" w:sz="0" w:space="0" w:color="auto"/>
                              </w:divBdr>
                            </w:div>
                          </w:divsChild>
                        </w:div>
                        <w:div w:id="1748264496">
                          <w:marLeft w:val="0"/>
                          <w:marRight w:val="0"/>
                          <w:marTop w:val="0"/>
                          <w:marBottom w:val="0"/>
                          <w:divBdr>
                            <w:top w:val="none" w:sz="0" w:space="0" w:color="auto"/>
                            <w:left w:val="none" w:sz="0" w:space="0" w:color="auto"/>
                            <w:bottom w:val="none" w:sz="0" w:space="0" w:color="auto"/>
                            <w:right w:val="none" w:sz="0" w:space="0" w:color="auto"/>
                          </w:divBdr>
                          <w:divsChild>
                            <w:div w:id="1655454793">
                              <w:marLeft w:val="0"/>
                              <w:marRight w:val="0"/>
                              <w:marTop w:val="0"/>
                              <w:marBottom w:val="0"/>
                              <w:divBdr>
                                <w:top w:val="none" w:sz="0" w:space="0" w:color="auto"/>
                                <w:left w:val="none" w:sz="0" w:space="0" w:color="auto"/>
                                <w:bottom w:val="none" w:sz="0" w:space="0" w:color="auto"/>
                                <w:right w:val="none" w:sz="0" w:space="0" w:color="auto"/>
                              </w:divBdr>
                            </w:div>
                            <w:div w:id="1286304802">
                              <w:marLeft w:val="0"/>
                              <w:marRight w:val="0"/>
                              <w:marTop w:val="0"/>
                              <w:marBottom w:val="0"/>
                              <w:divBdr>
                                <w:top w:val="none" w:sz="0" w:space="0" w:color="auto"/>
                                <w:left w:val="none" w:sz="0" w:space="0" w:color="auto"/>
                                <w:bottom w:val="none" w:sz="0" w:space="0" w:color="auto"/>
                                <w:right w:val="none" w:sz="0" w:space="0" w:color="auto"/>
                              </w:divBdr>
                            </w:div>
                            <w:div w:id="1426337794">
                              <w:marLeft w:val="0"/>
                              <w:marRight w:val="0"/>
                              <w:marTop w:val="0"/>
                              <w:marBottom w:val="0"/>
                              <w:divBdr>
                                <w:top w:val="none" w:sz="0" w:space="0" w:color="auto"/>
                                <w:left w:val="none" w:sz="0" w:space="0" w:color="auto"/>
                                <w:bottom w:val="none" w:sz="0" w:space="0" w:color="auto"/>
                                <w:right w:val="none" w:sz="0" w:space="0" w:color="auto"/>
                              </w:divBdr>
                            </w:div>
                            <w:div w:id="1555701918">
                              <w:marLeft w:val="0"/>
                              <w:marRight w:val="0"/>
                              <w:marTop w:val="0"/>
                              <w:marBottom w:val="0"/>
                              <w:divBdr>
                                <w:top w:val="none" w:sz="0" w:space="0" w:color="auto"/>
                                <w:left w:val="none" w:sz="0" w:space="0" w:color="auto"/>
                                <w:bottom w:val="none" w:sz="0" w:space="0" w:color="auto"/>
                                <w:right w:val="none" w:sz="0" w:space="0" w:color="auto"/>
                              </w:divBdr>
                            </w:div>
                            <w:div w:id="183330519">
                              <w:marLeft w:val="0"/>
                              <w:marRight w:val="0"/>
                              <w:marTop w:val="0"/>
                              <w:marBottom w:val="0"/>
                              <w:divBdr>
                                <w:top w:val="none" w:sz="0" w:space="0" w:color="auto"/>
                                <w:left w:val="none" w:sz="0" w:space="0" w:color="auto"/>
                                <w:bottom w:val="none" w:sz="0" w:space="0" w:color="auto"/>
                                <w:right w:val="none" w:sz="0" w:space="0" w:color="auto"/>
                              </w:divBdr>
                              <w:divsChild>
                                <w:div w:id="1618827207">
                                  <w:marLeft w:val="0"/>
                                  <w:marRight w:val="0"/>
                                  <w:marTop w:val="0"/>
                                  <w:marBottom w:val="0"/>
                                  <w:divBdr>
                                    <w:top w:val="none" w:sz="0" w:space="0" w:color="auto"/>
                                    <w:left w:val="none" w:sz="0" w:space="0" w:color="auto"/>
                                    <w:bottom w:val="none" w:sz="0" w:space="0" w:color="auto"/>
                                    <w:right w:val="none" w:sz="0" w:space="0" w:color="auto"/>
                                  </w:divBdr>
                                </w:div>
                              </w:divsChild>
                            </w:div>
                            <w:div w:id="97718159">
                              <w:marLeft w:val="0"/>
                              <w:marRight w:val="0"/>
                              <w:marTop w:val="0"/>
                              <w:marBottom w:val="0"/>
                              <w:divBdr>
                                <w:top w:val="none" w:sz="0" w:space="0" w:color="auto"/>
                                <w:left w:val="none" w:sz="0" w:space="0" w:color="auto"/>
                                <w:bottom w:val="none" w:sz="0" w:space="0" w:color="auto"/>
                                <w:right w:val="none" w:sz="0" w:space="0" w:color="auto"/>
                              </w:divBdr>
                              <w:divsChild>
                                <w:div w:id="1300262674">
                                  <w:marLeft w:val="0"/>
                                  <w:marRight w:val="0"/>
                                  <w:marTop w:val="0"/>
                                  <w:marBottom w:val="0"/>
                                  <w:divBdr>
                                    <w:top w:val="none" w:sz="0" w:space="0" w:color="auto"/>
                                    <w:left w:val="none" w:sz="0" w:space="0" w:color="auto"/>
                                    <w:bottom w:val="none" w:sz="0" w:space="0" w:color="auto"/>
                                    <w:right w:val="none" w:sz="0" w:space="0" w:color="auto"/>
                                  </w:divBdr>
                                  <w:divsChild>
                                    <w:div w:id="1732387331">
                                      <w:marLeft w:val="0"/>
                                      <w:marRight w:val="0"/>
                                      <w:marTop w:val="0"/>
                                      <w:marBottom w:val="0"/>
                                      <w:divBdr>
                                        <w:top w:val="none" w:sz="0" w:space="0" w:color="auto"/>
                                        <w:left w:val="none" w:sz="0" w:space="0" w:color="auto"/>
                                        <w:bottom w:val="none" w:sz="0" w:space="0" w:color="auto"/>
                                        <w:right w:val="none" w:sz="0" w:space="0" w:color="auto"/>
                                      </w:divBdr>
                                    </w:div>
                                    <w:div w:id="1724215346">
                                      <w:marLeft w:val="0"/>
                                      <w:marRight w:val="0"/>
                                      <w:marTop w:val="0"/>
                                      <w:marBottom w:val="0"/>
                                      <w:divBdr>
                                        <w:top w:val="none" w:sz="0" w:space="0" w:color="auto"/>
                                        <w:left w:val="none" w:sz="0" w:space="0" w:color="auto"/>
                                        <w:bottom w:val="none" w:sz="0" w:space="0" w:color="auto"/>
                                        <w:right w:val="none" w:sz="0" w:space="0" w:color="auto"/>
                                      </w:divBdr>
                                    </w:div>
                                  </w:divsChild>
                                </w:div>
                                <w:div w:id="284237840">
                                  <w:marLeft w:val="0"/>
                                  <w:marRight w:val="0"/>
                                  <w:marTop w:val="0"/>
                                  <w:marBottom w:val="0"/>
                                  <w:divBdr>
                                    <w:top w:val="none" w:sz="0" w:space="0" w:color="auto"/>
                                    <w:left w:val="none" w:sz="0" w:space="0" w:color="auto"/>
                                    <w:bottom w:val="none" w:sz="0" w:space="0" w:color="auto"/>
                                    <w:right w:val="none" w:sz="0" w:space="0" w:color="auto"/>
                                  </w:divBdr>
                                  <w:divsChild>
                                    <w:div w:id="912277736">
                                      <w:marLeft w:val="0"/>
                                      <w:marRight w:val="0"/>
                                      <w:marTop w:val="0"/>
                                      <w:marBottom w:val="0"/>
                                      <w:divBdr>
                                        <w:top w:val="none" w:sz="0" w:space="0" w:color="auto"/>
                                        <w:left w:val="none" w:sz="0" w:space="0" w:color="auto"/>
                                        <w:bottom w:val="none" w:sz="0" w:space="0" w:color="auto"/>
                                        <w:right w:val="none" w:sz="0" w:space="0" w:color="auto"/>
                                      </w:divBdr>
                                    </w:div>
                                    <w:div w:id="653535871">
                                      <w:marLeft w:val="0"/>
                                      <w:marRight w:val="0"/>
                                      <w:marTop w:val="0"/>
                                      <w:marBottom w:val="0"/>
                                      <w:divBdr>
                                        <w:top w:val="none" w:sz="0" w:space="0" w:color="auto"/>
                                        <w:left w:val="none" w:sz="0" w:space="0" w:color="auto"/>
                                        <w:bottom w:val="none" w:sz="0" w:space="0" w:color="auto"/>
                                        <w:right w:val="none" w:sz="0" w:space="0" w:color="auto"/>
                                      </w:divBdr>
                                    </w:div>
                                    <w:div w:id="1456411874">
                                      <w:marLeft w:val="0"/>
                                      <w:marRight w:val="0"/>
                                      <w:marTop w:val="0"/>
                                      <w:marBottom w:val="0"/>
                                      <w:divBdr>
                                        <w:top w:val="none" w:sz="0" w:space="0" w:color="auto"/>
                                        <w:left w:val="none" w:sz="0" w:space="0" w:color="auto"/>
                                        <w:bottom w:val="none" w:sz="0" w:space="0" w:color="auto"/>
                                        <w:right w:val="none" w:sz="0" w:space="0" w:color="auto"/>
                                      </w:divBdr>
                                    </w:div>
                                    <w:div w:id="1281913280">
                                      <w:marLeft w:val="0"/>
                                      <w:marRight w:val="0"/>
                                      <w:marTop w:val="0"/>
                                      <w:marBottom w:val="0"/>
                                      <w:divBdr>
                                        <w:top w:val="none" w:sz="0" w:space="0" w:color="auto"/>
                                        <w:left w:val="none" w:sz="0" w:space="0" w:color="auto"/>
                                        <w:bottom w:val="none" w:sz="0" w:space="0" w:color="auto"/>
                                        <w:right w:val="none" w:sz="0" w:space="0" w:color="auto"/>
                                      </w:divBdr>
                                      <w:divsChild>
                                        <w:div w:id="973632122">
                                          <w:marLeft w:val="0"/>
                                          <w:marRight w:val="0"/>
                                          <w:marTop w:val="0"/>
                                          <w:marBottom w:val="0"/>
                                          <w:divBdr>
                                            <w:top w:val="none" w:sz="0" w:space="0" w:color="auto"/>
                                            <w:left w:val="none" w:sz="0" w:space="0" w:color="auto"/>
                                            <w:bottom w:val="none" w:sz="0" w:space="0" w:color="auto"/>
                                            <w:right w:val="none" w:sz="0" w:space="0" w:color="auto"/>
                                          </w:divBdr>
                                        </w:div>
                                      </w:divsChild>
                                    </w:div>
                                    <w:div w:id="2028090829">
                                      <w:marLeft w:val="0"/>
                                      <w:marRight w:val="0"/>
                                      <w:marTop w:val="0"/>
                                      <w:marBottom w:val="0"/>
                                      <w:divBdr>
                                        <w:top w:val="none" w:sz="0" w:space="0" w:color="auto"/>
                                        <w:left w:val="none" w:sz="0" w:space="0" w:color="auto"/>
                                        <w:bottom w:val="none" w:sz="0" w:space="0" w:color="auto"/>
                                        <w:right w:val="none" w:sz="0" w:space="0" w:color="auto"/>
                                      </w:divBdr>
                                      <w:divsChild>
                                        <w:div w:id="56755333">
                                          <w:marLeft w:val="0"/>
                                          <w:marRight w:val="0"/>
                                          <w:marTop w:val="0"/>
                                          <w:marBottom w:val="0"/>
                                          <w:divBdr>
                                            <w:top w:val="none" w:sz="0" w:space="0" w:color="auto"/>
                                            <w:left w:val="none" w:sz="0" w:space="0" w:color="auto"/>
                                            <w:bottom w:val="none" w:sz="0" w:space="0" w:color="auto"/>
                                            <w:right w:val="none" w:sz="0" w:space="0" w:color="auto"/>
                                          </w:divBdr>
                                          <w:divsChild>
                                            <w:div w:id="1937202363">
                                              <w:marLeft w:val="0"/>
                                              <w:marRight w:val="0"/>
                                              <w:marTop w:val="0"/>
                                              <w:marBottom w:val="0"/>
                                              <w:divBdr>
                                                <w:top w:val="none" w:sz="0" w:space="0" w:color="auto"/>
                                                <w:left w:val="none" w:sz="0" w:space="0" w:color="auto"/>
                                                <w:bottom w:val="none" w:sz="0" w:space="0" w:color="auto"/>
                                                <w:right w:val="none" w:sz="0" w:space="0" w:color="auto"/>
                                              </w:divBdr>
                                            </w:div>
                                            <w:div w:id="12801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51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1704</Words>
  <Characters>9713</Characters>
  <Application>Microsoft Office Word</Application>
  <DocSecurity>0</DocSecurity>
  <Lines>80</Lines>
  <Paragraphs>22</Paragraphs>
  <ScaleCrop>false</ScaleCrop>
  <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2023-01-11T18:38:00Z</dcterms:created>
  <dcterms:modified xsi:type="dcterms:W3CDTF">2023-01-11T18:41:00Z</dcterms:modified>
</cp:coreProperties>
</file>