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Viedās administrācijas un reģionālās attīstības ministriju (turpmāk – VARAM) noteikumu projekta un izrietoši saistošo dokumentu tālākās virzības procesā ņemt vērā Klimata un enerģētikas ministrijas (turpmāk – KEM) 2025.gada 6.martā elektroniskā pasta vēstulē sniegto viedokli par VARAM priekšlikumu  par finansējuma pārdali no 2.2.3.6. pasākuma “Gaisa piesārņojumu mazinošu pasākumu īstenošana, uzlabojot mājsaimniecību siltumapgādes sistēmas” (turpmāk –2.2.3.6. pasākums) uz 2.2.2.2. pasākuma “Atkritumu dalītā vākšana” projektu iesniegumu otro atlases kārtu, t.sk. nodrošinot virzību tālākajos procesos KEM sniegtajam viedoklim  nesamazināt plānoto finansējumu 2.2.3.6. pasākuma atbalstāmajai darbībai, kas prioritāri paredz atbalstu bezemisiju tehnoloģiju iegādei un uzstādīšanai, kā arī centralizētās siltumapgādes pieslēgšanai, kā arī finansējuma pārpalikuma gadījumā arī koksnes biomasas apkures katla iegādei, kas piemērots granulu kurināmajam.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169  10.punkts, MK sēdes protokollēmums, precizējot pasākumam pieejamo finansējuma apjomu atbilstoši 2025.gada 6.martā elektroniskā pasta vēstulē sniegtajam viedoklim un atbilstoši ierosinātajiem grozījumiem Nr. 3 Eiropas Savienības kohēzijas politikas programmai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atbalstāmo darbību prioritizācija, dodot priekšroku gan pieslēgumiem centralizētajām siltumapgādes sistēmām, gan bezemisiju tehnoloģijām, ir noteikta gan, nosakot atbalstāmo darbību atbalsta procentuālās likmes (95 % no kopējām attiecināmajām izmaksām pieslēgumiem centralizētajām siltumapgādes sistēmām, 85 % no kopējām attiecināmajām izmaksām siltumsūkņiem, 70 % no kopējām attiecināmajām izmaksām koksnes biomasas apkures katla, kas piemērots granulu kurināmajam un 50 % no kopējām attiecināmajām izmaksām gaiss-gaiss sultumsūkņiem), gan projektu iesniegumu vērtēšanas kritērijos, kur atklāta projektu iesniegumu konkursa rezultātā [1] prioritāri tiek atbalstīti risinājumi pieslēgumam efektīvai centralizētajai siltumapgādes sistēmai (7 % no projektu skaita, kas tiek īstenoti), sekojoši, atbalsts siltumsūkņiem (58 % no projektu skaita, kas tiek īstenoti, visplašāk pieprasītā tehnoloģija), tikai kā trešo prioritāti nosakot atbalstu koksnes biomasas apkures katla iegādei, kas piemērots granulu kurināmajam (34 % no projektu skaita, kas tiek īstenoti). Vēršam uzmanību, ka tā kā atlase 4 uzsaukumos ir noslēgusies, šobrīd vairs nav nepieciešams noteikumos saglabāt 1. - 4.uzsaukumā paredzēto finansējuma sadalījumu (MK noteikumu Nr. 169 10.1., 10.2., 10.3. un 10.4.apakšpunkti) pa garantēti atbalstāmajām tehnoloģijām. Papildus, ņemot vērā līdzšinējo pieredzi uzsaukumu izsludināšanā un uzsaukumos vidēji pieteikto projektu skaitam un pieprasītā finansējuma apjomam, par pieejamo finansējuma apjomu plānots izsludināt vismaz divus papildu uzsaukumus, līdz ar to informējam, ka noteikumu projekts paredz primāru finansējuma izlietojumu bezemisiju tehnoloģiju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Četru uzsaukumu ietvaros tiek īstenoti 470 projekti, no kuriem siltumsūkņi paredzēti uzstādīt 271 projektā, centralizētā silstumapgādes sistēma 32 projektos, koksnes biomasas apkures katls, kas piemērots granulu kurināmajam, 160 projektos, gaiss-gaiss siltumsūkņi 7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atbalsta programma </w:t>
            </w:r>
            <w:r w:rsidR="00000000" w:rsidRPr="00000000" w:rsidDel="00000000">
              <w:rPr>
                <w:b w:val="1"/>
                <w:rtl w:val="0"/>
              </w:rPr>
              <w:t xml:space="preserve">ir vienīgā atbalsta programma Latvijā</w:t>
            </w:r>
            <w:r w:rsidR="00000000" w:rsidRPr="00000000" w:rsidDel="00000000">
              <w:rPr>
                <w:rtl w:val="0"/>
              </w:rPr>
              <w:t xml:space="preserve">, kuras ietvaros iedzīvotājiem ir iespējas saņemt līdzfinansējumu </w:t>
            </w:r>
            <w:r w:rsidR="00000000" w:rsidRPr="00000000" w:rsidDel="00000000">
              <w:rPr>
                <w:u w:val="single"/>
                <w:rtl w:val="0"/>
              </w:rPr>
              <w:t xml:space="preserve">malkas/biomasas apkures iekārtu nomaiņai uz videi draudzīgākām tehnoloģijām</w:t>
            </w:r>
            <w:r w:rsidR="00000000" w:rsidRPr="00000000" w:rsidDel="00000000">
              <w:rPr>
                <w:rtl w:val="0"/>
              </w:rPr>
              <w:t xml:space="preserve">, tad aicinām atvieglot minētās programmas nosacījumus un padarīt to vieglāk pieejamu plašākām sabiedrības grupām (tai skaitā, iedzīvotājiem ar zemiem un vidējiem ienākumiem). Šobrīd tiek rosinātas izmaiņas, kas attiecas uz ierobežotu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lielākus gaisa kvalitātes ieguvumus un izlietotu finansējumu efektīvāk, aicinām izvērtēt arī citas alternatīvas iespējas kā labāk apgūt finansējumu, piemēram,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izmaiņas spēkā esošo noteikumu 53.punktā, kas paredz, ka avansa maksājums finansējuma saņēmējam nav paredzēts, kā arī 54.punktā, kas paredz, ka sākotnēji finansējuma saņēmējs projektu īsteno un priekšfinansē no privātiem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tomēr paredzēt vismaz daļēju avansa maksājumu, lai padarītu šo programmu populārāku tieši galvenajās mērķgrupās - iedzīvotājiem, kas ikdienas apkurei izmanto vecas malkas krāsnis, kas arī rada daļu no gaisa piesārņojumu un kam nav iespējas no saviem līdzekļiem maksāt 4000 un vairāk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esošo pieeju un paredzēt lielāka atbalsta sniegšanu trūcīgajiem un maznodrošinātajiem iedzīvotajiem, kas nereti izmanto tieši piesārņojošākas apkures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Samazināt administratīvo slogu, kas saistīts ar projektu iesniegšanu. Pārskatīt sagatavoto projekta iesniegumu formu, maksimāli atvieglojot iesniedzamās informācijas apjomu, piemēram, neliekot projekta īstenotājam pašam veikt panākto daļiņu samazinājuma aprēķinu, bet veikt šo aprēķinu centralizēti par visiem projektiem īstenošanas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paplašināt projekta īstenotāju grupu, to attiecinot, piemēram, uz mazajiem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iemeslus, kādēļ uz šo brīdi nav apgūts viss pieejamais finansējums (piemēram, vai ir noskaidrots potenciālo projektu īstenotāju viedoklis par to, kādēļ tie nepiesakās šādiem projektiem vai ir kādi gadījumi, kad projekti tiek noraidīti un kādu iemeslu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avansa maksājumu un atbalstu sociāli maznodrošinātajiem, sniedzam viedokli, ka  nav atbalstāma avansa ieviešana investīcijām, kas lielākoties paredzētas vienas darbības vai ar šo darbību saistītā kompleksa veikšanai. Balstoties uz investīciju raksturu, faktiski nav iespējas izšķirt starpposma veicamās darbības, uz kā pamata vispār var piešķirt avansa maksājumu, respektīvi, iekārtas uzstādīšanas gadījumā, avansu varētu izpildīt tikai, pamatojoties uz izmaksu pamatojoša dokumenta pamata, piemēram, iekārtas iegādes dokuments, bet, ņemot vērā, ka pasākumā ir </w:t>
            </w:r>
            <w:r w:rsidR="00000000" w:rsidRPr="00000000" w:rsidDel="00000000">
              <w:rPr>
                <w:b w:val="1"/>
                <w:rtl w:val="0"/>
              </w:rPr>
              <w:t xml:space="preserve">paredzēta vienkāršoto izmaksu iespēju piemērošana</w:t>
            </w:r>
            <w:r w:rsidR="00000000" w:rsidRPr="00000000" w:rsidDel="00000000">
              <w:rPr>
                <w:rtl w:val="0"/>
              </w:rPr>
              <w:t xml:space="preserve">, tas izslēdz iespējas pārbaudīt izmaksu pamatojošos dokumentus, ar fokusu pārbaudīt tikai investīciju rezultātā sasniegtos rezultātus. Avansa izsniegšanas gadījumā šīm investīcijām zustu administratīvā sloga samazinājums, ko atzinīgi ir novērtējuši gan finansējuma saņēmēji, gan sadarbības iestāde, jo maksājuma saņemšanai vairs nav nepieciešams iesniegt un pārbaudīt izmaksu pamatojošos dokumentus, nepieciešams iesniegt un pārbaudīt tikai darbības veikšanas pamatojošos dokumentus - pieņemšanas nodošanas aktu un iekārtu atbilstības deklarācijas, kas būtu iesniedzamas un pārbaudāmas jebkurā gadījumā. Papildus vēršam uzmanību uz to, ka investīciju plānošanā ir jānodrošina arī atbildīga finanšu plānošana, kas liedz avansa izmaksu bez faktiska nodrošinājuma, turklāt fiziskām personām, kur, ņemot vērā tipiska projekta relatīvi mazo finanšu apjomu (aptuveni 10 000 EUR uz vienu projektu), finanšu atgūšanas gadījumā būtu jānodrošina nesamērīgi lieli finanšu un administratīvie resursi, kā rezultātā investīciju pasākums no zema riska projektu pasākuma kļūtu par augsta riska investīciju pasākumu, kas nav atbalstāms, ne no administratīvā sloga samazināšanas viedokļa, ne no finanšu pārvaldības viedokļa. Papildus vēršam uzmanību uz to, ka visu Eiropas Savienības kohēzijas politikas programmas 2021.–2027.gadam pasākumu ietvaros ir jānodrošina arī, ka projekta iesniedzējam ir pietiekama īstenošanas un finanšu kapacitāte projekta īstenošanai, kas faktiski nav savienojama ar tiešu atbalsta sniegšanu finansiālās grūtībās esošām personām, turklāt vēl ar avansa starpniecību.  Skaidrojam, ka, jau šobrīd atbalsta procentuālās likmes sasniedz līdz pat 95 % no kopējām izmaksām, kā arī projektus </w:t>
            </w:r>
            <w:r w:rsidR="00000000" w:rsidRPr="00000000" w:rsidDel="00000000">
              <w:rPr>
                <w:b w:val="1"/>
                <w:rtl w:val="0"/>
              </w:rPr>
              <w:t xml:space="preserve">var iesniegt dzīvojamās mājas vai dzīvokļu īpašumu pilnvarotās personas</w:t>
            </w:r>
            <w:r w:rsidR="00000000" w:rsidRPr="00000000" w:rsidDel="00000000">
              <w:rPr>
                <w:rtl w:val="0"/>
              </w:rPr>
              <w:t xml:space="preserve">, kas vismaz daļēji sniedz iespējas projektus īstenot sociāli neaizsargātākai sabiedrības daļai. Tas nozīmē, ka jau šobrīd mazaizsargātu personu grupām pilnvarotā persona var īstenot projektus šo personu vietā, tajā paša laikā nodrošinot ES fondu regulējuma prasību izpildi. Papildus vēršam uzmanību uz šobrīd esošajām diskusijām par Sociālā klimata fonda ietvaros veicamajām investīcijām, kuru ietvaros tieši investīcijas sociāli vismazāk aizsargātajām personām, tai skaitā enerģētiskās nabadzības mazināšanai un iekārtu nomaiņai tieši mājsaimniecību sektorā ir investīciju tiešais fokuss un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administratīvā sloga samazināšanas iespējām, informējam, ka Eiropas Savienības kohēzijas politikas programmas 2021.–2027.gadam investīcijām ir jānodrošina gan horizontālā principa “klimatdrošināšana”, “energoefektivitāte pirmajā vietā”, gan “nenodarīt būtisku kaitējumu” nosacījumi, kur jau šobrīd šie nosacījumi ir iespējami samazināti un vēl plašāka to samazināšana ir apgrūtināta, lai nodrošinātu investīciju pasākuma kopējo atbilstību minētajiem principiem. Vienlaikus vēršam uzmanību uz izziņas 3. punktā sniegto Klimata un enerģētikas ministrijas iebildumu, kur tas ir vērsts nevis uz nosacījumu un administratīvā sloga samazināšanu, bet uz tā  palielināšanu. Skaidrojam, ka tikai dzīvojamās mājas īpašnieks var zināt un iesniegt datus par tā īpašumā esošo dzīvojamo māju energoresursu patēriņu, pārējo aprēķinu jau šobrīd veic Sadarbības iestādes izstrādātais un nolikumā ietvertais aprēķina rīks  (Nolikuma 1.1.pielikums [2]). Piedāvājums, kur sadarbības iestāde veic projekta rezultāta rādītāju aprēķinu projektu īstenošanas beigās, nav iespējams, jo minētais nolikuma pielikums aprēķina ne tikai PM</w:t>
            </w:r>
            <w:r w:rsidR="00000000" w:rsidRPr="00000000" w:rsidDel="00000000">
              <w:rPr>
                <w:vertAlign w:val="subscript"/>
                <w:rtl w:val="0"/>
              </w:rPr>
              <w:t xml:space="preserve">2.5</w:t>
            </w:r>
            <w:r w:rsidR="00000000" w:rsidRPr="00000000" w:rsidDel="00000000">
              <w:rPr>
                <w:rtl w:val="0"/>
              </w:rPr>
              <w:t xml:space="preserve"> daļiņu apjomu, bet arī atbilstību horizontālā principa “energoefektivitāte pirmajā vietā” nosacījumam par atbilstību nepieciešamajai ēkas klasei, kas ir investīcijas veikšanas izslēdzošs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projekta iesnieguma formu, informējam, ka jau šobrīd projekta iesnieguma aprakstošā daļa ir būtiski samazināta pret projekta iesniegumu veidlapām citos Eiropas Savienības kohēzijas politikas programmas 2021.–2027.gadam specifisko atbalsta mērķu pasākumos. Tāpat norādām uz plānotajiem precizējumiem atlases nolikuma apliecinājumu sadaļā, kur ir pārskatītas apliecinājumu sadaļas, tās konsolidējot un samazinot un optimizējot apliecinājumu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atbalsta tvēruma paplašināšanu uz mazajiem uzņēmumiem, informējam, ka Eiropas Savienības kohēzijas politikas programmas 2021.–2027. gadam 2.2.3.6. pasākums "Gaisa piesārņojumu mazinošu pasākumu īstenošana, uzlabojot mājsaimniecību siltumapgādes sistēmas” izstrādāts atbilstoši 2020. gada 16. aprīļa Ministru kabineta rīkojuma Nr. 197 “Par Gaisa piesārņojuma samazināšanas rīcības plānu 2020.-2030. gadam” 3.7.pasākumam, kas attiecināts tieši uz mājsaimniecību sektoru. Tvēruma paplašināšana, būtiski aizkavēs pasākuma papildu uzsaukumu izsludināšanu, jo tādā gadījumā papildus jāveic grozījumi Eiropas Savienības kohēzijas politikas programmā 2021.–2027. gadam, tās pielikumā vienkāršoto izmaksu piemērošanai, kur minētās izmaiņas ir papildus saskaņojamas ar Eiropas Komisiju. Informējam, </w:t>
            </w:r>
            <w:r w:rsidR="00000000" w:rsidRPr="00000000" w:rsidDel="00000000">
              <w:rPr>
                <w:b w:val="1"/>
                <w:rtl w:val="0"/>
              </w:rPr>
              <w:t xml:space="preserve">ka jau šobrīd, atbalsta pasākums paredz iespējas atbalstīt dzīvojamās mājas, dzīvokļu īpašumu īpašniekus, kas dzīvojamā mājā veic saimniecisko darbību</w:t>
            </w:r>
            <w:r w:rsidR="00000000" w:rsidRPr="00000000" w:rsidDel="00000000">
              <w:rPr>
                <w:rtl w:val="0"/>
              </w:rPr>
              <w:t xml:space="preserve">, tai skaitā arī īpašumus, kuri izvietoti dzīvojamās mājas nedzīvojamās telpu grupās, ar nosacījumu, ka visa ēka ir klasificēta kā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https://www.cfla.gov.lv/lv/2236-gaisa-piesarnojumu-mazinosu-pasakumu-istenosana-uzlabojot-majsaimniecibu-siltumapgades-sistemas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savu iepriekš pausto iebildumu (izziņas iebildums Nr.2) ar aicinājumu rast risinājumus, lai padarītu minēto atbalsta programmu efektīvāku un populārāku iedzīvotāju vidū. Uzskatām, ka ir būtiski pilnībā izmantot pieejamo finansējumu maksimāli efektīvākajā veidā, lai panāktu gaisa kvalitātes uzlabošanos un negatīvo ietekmju mazināšanu uz kopējo sabiedrības veselību un vidi. Aicinām paredzēt arī citus uzlabojumus minētajā programmā, lai rezultātā tiktu izmantots viss atbalsta programmai pieejamais finansējums un tas nebūtu jāpārdala citām nozarēm vai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9.5. apakšpunktā, 45. punktā, 46. punktā, 43.</w:t>
            </w:r>
            <w:r w:rsidR="00000000" w:rsidRPr="00000000" w:rsidDel="00000000">
              <w:rPr>
                <w:vertAlign w:val="superscript"/>
                <w:rtl w:val="0"/>
              </w:rPr>
              <w:t xml:space="preserve">1</w:t>
            </w:r>
            <w:r w:rsidR="00000000" w:rsidRPr="00000000" w:rsidDel="00000000">
              <w:rPr>
                <w:rtl w:val="0"/>
              </w:rPr>
              <w:t xml:space="preserve"> punktā un anotācijas 1.3.sadaļā. Lūdzam skaidrojumu skatīt izziņas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atbalsts sociāli vismazāk aizsargātajām sabiedrības grupām plānots Sociālā Klimata fonda programmu ietvaros, kur attiecīgais finanšu instruments izveidots tieši tam, lai nodrošinātu atbalstu visvairāk enerģētiskās nabadzības skartajām mājsaimniecībām, kā arī šis investīciju instruments nenosaka tik striktus nosacījumus finanšu un īstenošanas kapacitātes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Sociālā Klimata fonda ietvaros tiek plānots pasākums “Atbalsts mazaizsargātām mājsaimniecībām maza mēroga energoefektivitātes pasākumu īstenošanai un privātmāju atjaunošanai” ar atbalsta apjomu 198.6 milj. euro, kas daudzkārt pārspēj 2.2.3.6. pasākumā pieejamo finansējuma apjomu. Papildus informējam, ka gan Sadarbības iestādē, gan VARAM regulāri vēršas interesenti ar jautājumiem par 2.2.3.6. pasākuma papildus uzsaukumu atlases nosacījumiem un atlases izsludināšanas termiņiem, līdz ar to sabiedrībā ir liela interese par 2.2.3.6. pasākumu un nav indikāciju, ka pieejamais finansējums papildu uzsaukumu ietvaros netiks apgūts.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KEM 18.marta atzinumā izteikto iebildumu, kas izteikts pie 9.3. punkta. Stingri iebilstam pret pieslēgumu centralizētās siltumapgādes sistēmām izslēgšanas no atbalstītajām darbībām papildu uzsaukumos.. </w:t>
            </w:r>
            <w:r w:rsidR="00000000" w:rsidRPr="00000000" w:rsidDel="00000000">
              <w:rPr>
                <w:b w:val="1"/>
                <w:u w:val="single"/>
                <w:rtl w:val="0"/>
              </w:rPr>
              <w:t xml:space="preserve">Lūdzam mainīt piedāvāto pieeju un precizēt risinājumu apraksta 14. rindkopas pēdējos 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pēc būtības neatbalsta risinājumu, kas paredz piešķirt finansējumu biomasas kurināmā katla uzstādīšanai, neizvērtējot iespējas izmantot energoefektīvākas un gaisa piesārņošanas mazināšanai efektīvākas alternatīvas - pieslēgumus efektīvai centralizētās siltumapgādes sistēmai un kā otro alternatīvu, siltumsūkņu izmantošana. VARAM piedāvātā pieeja ir pretrunā "energoefektivitāte pirmajā vietā" principam un piedāvātās izmaiņas neatbilst Energoefektivitātes likuma 3.1 panta pirmajā daļa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pieeja jau tiek izmantota vairākās Ekonomikas ministrijas virzītās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aprakstītais aspekts par efektīvu centralizētās siltumapgādes sistēmu noteikšanu ir vienkārši risināms pirms vienotas centralizētas sistēmu efektivitātes vērtēšanas (kas tiks attiecināts tikai uz regulētiem komersantiem), </w:t>
            </w:r>
            <w:r w:rsidR="00000000" w:rsidRPr="00000000" w:rsidDel="00000000">
              <w:rPr>
                <w:b w:val="1"/>
                <w:rtl w:val="0"/>
              </w:rPr>
              <w:t xml:space="preserve">sadarbības iestādei pirms uzsaukuma īstenošanas lūdzot centralizētās siltumapgādes sistēmu operatoriem </w:t>
            </w:r>
            <w:r w:rsidR="00000000" w:rsidRPr="00000000" w:rsidDel="00000000">
              <w:rPr>
                <w:rtl w:val="0"/>
              </w:rPr>
              <w:t xml:space="preserve">(gan regulētiem, balstoties uz SPRK pieejamo sarakstu, gan neregulētiem caur pašvaldībām) </w:t>
            </w:r>
            <w:r w:rsidR="00000000" w:rsidRPr="00000000" w:rsidDel="00000000">
              <w:rPr>
                <w:b w:val="1"/>
                <w:rtl w:val="0"/>
              </w:rPr>
              <w:t xml:space="preserve">iesniegt pašapliecinājumu par atbilstību efektīvas centralizētās siltumapgādes sistēmas kritērijiem</w:t>
            </w:r>
            <w:r w:rsidR="00000000" w:rsidRPr="00000000" w:rsidDel="00000000">
              <w:rPr>
                <w:rtl w:val="0"/>
              </w:rPr>
              <w:t xml:space="preserve"> (efektivitāte tiek vērtēta pēc sistēmā izmantotajiem energoresursiem un tehnoloģijām un komersantiem šie dati ir). </w:t>
            </w:r>
            <w:r w:rsidR="00000000" w:rsidRPr="00000000" w:rsidDel="00000000">
              <w:rPr>
                <w:b w:val="1"/>
                <w:rtl w:val="0"/>
              </w:rPr>
              <w:t xml:space="preserve">Uz iesniegto pašapliecinājumu pamata būtu sastādāms noteiktu 45. punktā minētais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tehniski precizēt pēdējās rindkopas 7. punktu, ka 2.2.3.6.pasākuma prioritārais mērķis nav </w:t>
            </w:r>
            <w:r w:rsidR="00000000" w:rsidRPr="00000000" w:rsidDel="00000000">
              <w:rPr>
                <w:b w:val="1"/>
                <w:rtl w:val="0"/>
              </w:rPr>
              <w:t xml:space="preserve">palielināt </w:t>
            </w:r>
            <w:r w:rsidR="00000000" w:rsidRPr="00000000" w:rsidDel="00000000">
              <w:rPr>
                <w:rtl w:val="0"/>
              </w:rPr>
              <w:t xml:space="preserve">ēku energoefektivitāti (šobrīd tekstā ir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sagatavojot papildu uzsaukumu atlases nolikumu, ņemot vērā iespējamās normatīvā regulējuma izmaiņas, tiks precizēta pieeja attiecībā uz efektīvas centralizētās siltumagādes sistēmas prasību korektu piemērošanu, vienlaikus, ņemot vērā to, ka Latvijas normatīvajos aktos šobrīd vēl nav noteiktas detalizētas prasības efektīvai centralizētai siltumagādes sistēmai, kā arī to, ka atbilstoši Klimata un enerģētikas ministrijas sniegtajai informācijai šobrīd prasībām atbilstošas efektīvas centralizētās siltumagādes sistēmas vēl nav apzinātas, lai nekavētu papildu uzsaukumu izsludināšanu, noteikumu projekts MK noteikumu Nr. 169 9.5. apakšpunktā paredz iespēju sadarbības iestādei,. Attiecīgi šobrīd tiek plānots, ka papildu uzsaukumu ietvaros tiks paredzēti vismaz divi uzsaukumi (pirmais papildu uzsaukums plānots 2025.gada II ceturksnī un otrs papildu uzsaukums plānots 2025.gada III ceturksnī) </w:t>
            </w:r>
            <w:r w:rsidR="00000000" w:rsidRPr="00000000" w:rsidDel="00000000">
              <w:rPr>
                <w:b w:val="1"/>
                <w:rtl w:val="0"/>
              </w:rPr>
              <w:t xml:space="preserve">un sadarbības iestādei pirms uzsaukuma īsenošanas lūdzot centralizētās siltumapgādes sistēmu operatoriem (gan regulētiem, balstoties uz SPRK pieejamo sarakstu, gan neregulētiem caur pašvaldībām) iesniegt pašapliecinājumu par atbilstību efektīvas centralizētās siltumapgādes sistēmas kritērijiem (efektivitāte tiek vērtēta pēc sistēmā izmantotajiem energoresursiem un tehnoloģijām un komersantiem šie dati ir). Uz iesniegto pašapliecinājumu pamata būtu sastādāms noteiktu 45. punktā minētais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9.5. apakšpunktā, 45. punktā,  46. punktā 43.</w:t>
            </w:r>
            <w:r w:rsidR="00000000" w:rsidRPr="00000000" w:rsidDel="00000000">
              <w:rPr>
                <w:vertAlign w:val="superscript"/>
                <w:rtl w:val="0"/>
              </w:rPr>
              <w:t xml:space="preserve">1</w:t>
            </w:r>
            <w:r w:rsidR="00000000" w:rsidRPr="00000000" w:rsidDel="00000000">
              <w:rPr>
                <w:rtl w:val="0"/>
              </w:rPr>
              <w:t xml:space="preserve">. punktā un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9.5. apakšpunktā paredz atteikties no papildu uzsaukumu ar atšķirīgām atbalstāmajām darbībām izsludināšanas, precizējumi 45. punktā precizē nosacījumus pieslēgumiem centralizētajām siltumapgādes sistēmām, paredzot lielāku elastību valstspilsētu un novadu pilsētu efektīvo centralizēto siltumapgādes sistēmu saraksta sagatavošanai un publicēšanai,  precizējumi 46. punktā paredz jaunu nosacījumu, kurā atbalsts koksnes biomasas apkures katla iegādei, kas piemērots granulu kurināmajam, valstspilsētās tiek piešķirts, ja projekta iesniedzējs pamato, ka nav tehniski un ekonomiski iespējams īstenot bezemisiju risinājumus, savukārt precizējumi 43.</w:t>
            </w:r>
            <w:r w:rsidR="00000000" w:rsidRPr="00000000" w:rsidDel="00000000">
              <w:rPr>
                <w:vertAlign w:val="superscript"/>
                <w:rtl w:val="0"/>
              </w:rPr>
              <w:t xml:space="preserve">1</w:t>
            </w:r>
            <w:r w:rsidR="00000000" w:rsidRPr="00000000" w:rsidDel="00000000">
              <w:rPr>
                <w:rtl w:val="0"/>
              </w:rPr>
              <w:t xml:space="preserve">. punktā ļaus īstenot pieslēguma efektīvai centralizētajai siltumapgādes sistēmai projektus daudzdzīvokļu dzīvojamās mājās arī gadījumos, ja kāds no dzīvokļa īpašumiem atteiksies savā atsevišķajā īpašumā īstenot projektu, kur iepriekš īstenotajos uzsaukumos šādi projekti netika atbalstīti.  Attiecībā par noteikumu 9.3. apakšpunktu atkārtoti skaidrojam, ka pasākuma 3. uzsaukums ir noslēdzies un turpmāk nav paredzēts uzsaukums atsevišķi projektiem, kuros paredzēta tikai koksnes biomasas apkures katla iegāde, kas piemērota granulu kurināmajam.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 iekļautais skaidrojums par noteikumu atbilstību principam "energoefektivitāte pirmajā vietā" nav korekta. Piedāvātais risinājums, ja no konkrētas kārtas tiek izslēgta atbalsta piešķiršana efektīvākajam risinājumam - efektīvai centralizētas siltumapgādes sistēmai, ir pretrunā "energoefektivitāte pirmajā vietā" principam un piedāvātās izmaiņas neatbilst Energoefektivitātes likuma 3.</w:t>
            </w:r>
            <w:r w:rsidR="00000000" w:rsidRPr="00000000" w:rsidDel="00000000">
              <w:rPr>
                <w:vertAlign w:val="superscript"/>
                <w:rtl w:val="0"/>
              </w:rPr>
              <w:t xml:space="preserve">1</w:t>
            </w:r>
            <w:r w:rsidR="00000000" w:rsidRPr="00000000" w:rsidDel="00000000">
              <w:rPr>
                <w:rtl w:val="0"/>
              </w:rPr>
              <w:t xml:space="preserve"> panta pirmajā daļa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nosacījums, ka a projekts var tikt īstenots tikai ēkās, kas ir atbilstošas 2020. gada 10. decembra Ministru kabineta noteikumu Nr. 730 “Ekspluatējamu ēku energoefektivitātes minimālās prasības” 2.punktā noteiktajām ekspluatējamu ēku minimālajām prasībām (E klasei atbilstoši 2021. gada 8. aprīļa Ministru kabineta noteikumu Nr.222 “Ēku energoefektivitātes aprēķina metodes un ēku energosertifikācijas noteikumi” 3.pielikuma 1.tabulai) neizpilda šo principu. Tas tikai pasaka, ka ēka atbilst </w:t>
            </w:r>
            <w:r w:rsidR="00000000" w:rsidRPr="00000000" w:rsidDel="00000000">
              <w:rPr>
                <w:u w:val="single"/>
                <w:rtl w:val="0"/>
              </w:rPr>
              <w:t xml:space="preserve">minimālajām prasībām</w:t>
            </w:r>
            <w:r w:rsidR="00000000" w:rsidRPr="00000000" w:rsidDel="00000000">
              <w:rPr>
                <w:rtl w:val="0"/>
              </w:rPr>
              <w:t xml:space="preserve"> ekspluatējamai ēkai, tātad ēkas, kas ir sliktākā stāvoklī bez energoefektivitātes uzlabojumiem vispār nebūtu ekspluatējamas. Korektai principa ievērošanai ēkai būtu jāatbilst augstākai klasei par minimālo prasību, piemēram, atbilstošai vismaz C vai D klasei, jo ēkas enerģijas patēriņu mazinošie pasākumi būtu veicami pirms siltumavota nomaiņas, uzstādot jau samazinātajam siltumenerģijas patēriņam nepieciešamas jaudas siltumavotu.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šo prasību vien nav pietiekami un būtisks aspekts principa "energoefektivitāte pirmajā vietā" ievērošanai ir tieši atbalstītā risinājuma efektivitāte. Šāda pieeja jau tiek izmantota vairākās Ekonomikas ministrijas virzītās atbalsta programmās. Bet VARAM ierosinātie grozījumi tieši izslēdz no konkrētās risinājuma kārtas efektīvāko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Viedās administrācijas un reģionālās attīstības ministrijas (turpmāk – VARAM) prioritāte ir nodrošināt 2.2.3.6. pasākuma "Gaisa piesārņojumu mazinošu pasākumu īstenošana, uzlabojot mājsaimniecību siltumapgādes sistēmas” pēc iespējas ātrāku papildu uzsaukumu izsludināšanu, tai skaitā atbalstīt risinājumus pieslēgumam efektīvas centralizētās siltumapgādes sistēmām. Par iespējām pirmajā papildu uzsaukumā atbalstīt risinājumus pieslēgumam centralizētajām siltumapgādes sistēmām saistībā ar Direktīvas (ES) 2023/1791 [3] 26.panta prasībām, ar Klimata un enerģētikas ministrijas (turpmāk – KEM) pārstāvjiem 2025.gada 17.janvārī rīkota sanāksme, kā arī 2025.gada 26.februārī elektroniskajā vēstulē Nr. 4-10/1099 tika lūgts KEM atbilstoši tās kompetencei veikt darbības efektīvas centralizētās siltumapgādes sistēmu saraksta sastādīšanai, kur attiecīgais saraksts ir pamats uzsaukuma izsludināšanai ar visām atbalstāmajām darbībām un tas ir vienīgais šķērslis vai iemesls, lai uzsaukumā netiktu atbalstīts visprioritārākais risinājums – pieslēgums centralizētajai siltumapgādes sistēmai. Attiecīgais risinājums 9.5.apakšpunktā precizēt katrā atsevišķā uzsaukumā vērtējamo projektu veidus tiek ietverts tikai gadījumam, ja KEM līdz pirmajam papildu uzsaukumam attiecīgu sarakstu nespēs sagatavot, tāpat apliecinām, ka nav paredzēts atsevišķu uzsaukumu rīkot katrai atbalstāmajai darbībai atsevišķi. Skaidrojam, ka fiziskajām personām, kam jāveic izvēle par to mājsaimniecībās uzstādāmajiem risinājumiem, ir jābūt zināmam jau pirms uzsaukuma izsludināšanas, vai tās pilsētas centralizētā siltumapgādes sistēma atbilst efektīvas centralizētās siltumapgādes sistēmas prasībām, vai tomēr neatbilst, un tikai KEM, atbilstoši tās kompetencei var nodefinēt kritērijus un šādu sarakstu sagatavot. KEM piedāvātais risinājums noskaidrot atbilstību katram projekta iesniedzējam vēršoties pie katra centralizētās siltumapgādes operatora uzsaukuma laikā, ne tikai neveicina mājsaimniecībām prioritārākā risinājuma izvēli, bet rada riskus, ka katra individuāla operatora atbilde var nebūt atbilstoša direktīvā noteiktajām prasībām, it īpaši, kamēr nav izstrādāti un stājušies spēkā Enerģētikas likuma 49.</w:t>
            </w:r>
            <w:r w:rsidR="00000000" w:rsidRPr="00000000" w:rsidDel="00000000">
              <w:rPr>
                <w:vertAlign w:val="superscript"/>
                <w:rtl w:val="0"/>
              </w:rPr>
              <w:t xml:space="preserve">1</w:t>
            </w:r>
            <w:r w:rsidR="00000000" w:rsidRPr="00000000" w:rsidDel="00000000">
              <w:rPr>
                <w:rtl w:val="0"/>
              </w:rPr>
              <w:t xml:space="preserve"> panta pirmajā daļā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w:t>
            </w:r>
            <w:r w:rsidR="00000000" w:rsidRPr="00000000" w:rsidDel="00000000">
              <w:rPr>
                <w:b w:val="1"/>
                <w:rtl w:val="0"/>
              </w:rPr>
              <w:t xml:space="preserve">atbilstību horizontālajam principam “energoefektivitāte pirmajā vietā”</w:t>
            </w:r>
            <w:r w:rsidR="00000000" w:rsidRPr="00000000" w:rsidDel="00000000">
              <w:rPr>
                <w:rtl w:val="0"/>
              </w:rPr>
              <w:t xml:space="preserve">, skaidrojam, ka šāds risinājums ir piemērots jau īstenotajos četros pasākuma uzsaukumos. VARAM ieskatā esošie nosacījumi ir atbilstoši,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2.2.3.6.pasākuma prioritārais mērķis ir samazināt gaisa piesārņojumu, nevis samazināt ēku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nav aizliegta esošu ēku ekspluatācija tikai tādēļ, ka to energoefektivitātes klase nesasniedz vismaz E energoefektivitātes klases līmeni. MK noteikumu Nr.169 23.4.apakšpunkta prasība paredz stingrākas prasības nekā vispārīgi piemērojamās prasības bez ES fondu atbalsta tieši horizontālā principa izpildei, vienlaikus nodrošinātu, ka, tajās ēkās, kur primāri nepieciešama ēkas energoefektivitātes paaugstināšana (F klases ēkas), projekta ietvaros netiktu uzstādītās pārlieku lielas jaudas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atbilstība principam ir nodrošināta arī ar MK noteikumu Nr.169 vispārīgi atbalstāmajām darbībām, atbalstu sniedzot ne tikai iekārtu aizstāšanai, bet arī visas siltumampādes sistēmas nomaiņai (MK noteikumu Nr.169 42.1.1., 42.2.1., 42.3.1., 42.3.2. apakšpunkti), tai skaitā netieši tās energoefektivitātes uzlabošanai, tāpat ar atbalstu saules paneļu sistēmas (ar pieslēgumu elektrotīklam) iegādei (MK noteikumu Nr.169 42.1.2., 42.2.2. un 42.4.2.apakšpunkti), kur šāds atbalsts tikai netieši var samazināt gaisa piesārņojumu, tomēr palīdz uzlabot finansējuma saņēmēja ēkas kopējo energoefektivitātes klasi, kā arī atbalstu tikai koksnes biomasas apkures katla iegādei, kas piemērots granulu kurināmajam, nevis cita veida biomasas sadedzināšanas iekārtām (MK noteikumu Nr.169 42.1.apakšpunkts);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atbilstība principam ir nodrošināta arī ar MK noteikumu Nr.169 45. punkta prasībām (atbalsts tikai efektīvām centralizētajām siltumapgādes sistēmām), MK noteikumu Nr.169 46.punkta prasībām (atbalsts tikai ekodizainam atbilstošām iekārtām, kur šādām iekārtām papildus jānodrošina atbilstība vismaz A+ iekārtas energoefektivitātes klasei  (MK noteikumu Nr.169 46.2. un 46.4.apakšpunkts);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KEM uzstāj uz to, ka, lai nodrošinātu atbilstību horizontālajam principam “energoefektivitāte pirmajā vietā” nepieciešams pastiprināt MK noteikumu Nr.169 23.4.apakšpunkta prasības, vēršam uzmanību uz to, ka tas tikai samazinās iespējas pretendēt uz atbalstu sociāli vismazāk nodrošinātajām sabiedrības grupām, attiecībā uz kurām KEM izziņas 2 punkta iebildumā lūdz atvieglot administratīvo slogu un paplašināt atbalsta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2023. gada 13. septembra Eiropas Parlamenta un Padomes Direktīva (ES) 2023/1791 (2023. gada 13. septembris) par energoefektivitāti un ar ko groza Regulu (ES) 2023/955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https://eur-lex.europa.eu/eli/dir/2023/1791/oj/?locale=LV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nacionālais rādītājs – līdz 2027.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30 tonnas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noteiktajam sasniedzamā rādītāja samazinājumam no 50 tonnām uz 30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Klimata un enerģētikas ministrija ir atbildīga par gaisa kvalitātes un gaisu piesārņojošo vielu emisiju samazināšanas mērķu sasniegšanu un nenomainot ieplānotās malku un biomasu izmantojošās iekārtas ar videi draudzīgākām tiek ietekmēt noteikto saistību izpilde. Vienlaikus jāņem vērā, ka minētie pieņēmumi un panākamie samazinājumi ir iekļauti arī Latvijas izstrādātajās gaisu piesārņojošo vielu emisiju prognozēs, uz kurām balstās tālākā politikas izstrāde. Attiecīgi, ja paredzēts mazāks emisiju samazinājums un mazāks nomaināmo iekārtu skaits, tad attiecīgi būtu veicamas korekcijas arī aprēķinātajās emisiju prognozēs un jāplāno citi papildus pasākumi emisiju samazinājuma panākšanai.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VARAM pielikt visas iespējamās pūles, lai realizētu noteiktos projektus pilnā apjomā un sasniegtu noteiktos rādītājus, prioritāri atbalstot bezemisiju tehnoloģijas, ar ko var panākt vislielāko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Nr.169 noteikumu 5.2.apakšpunkts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nacionālais rādītājs – līdz 2027.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trešā uzsaukuma ietvaros plānots īstenot centralizētās siltumapgādes apkalpošanas zonā 20 metru attālumā no centralizētās siltumapgādes tīkliem, projektu iesniedz šo noteikumu </w:t>
            </w:r>
            <w:r w:rsidR="00000000" w:rsidRPr="00000000" w:rsidDel="00000000">
              <w:rPr>
                <w:rtl w:val="0"/>
              </w:rPr>
              <w:t xml:space="preserve">9.4.</w:t>
            </w:r>
            <w:r w:rsidR="00000000" w:rsidRPr="00000000" w:rsidDel="00000000">
              <w:rPr>
                <w:rtl w:val="0"/>
              </w:rPr>
              <w:t xml:space="preserve"> apakšpunktā minētajā ceturtajā uzsaukumā vai šo noteikumu </w:t>
            </w:r>
            <w:r w:rsidR="00000000" w:rsidRPr="00000000" w:rsidDel="00000000">
              <w:rPr>
                <w:rtl w:val="0"/>
              </w:rPr>
              <w:t xml:space="preserve">9.5.</w:t>
            </w:r>
            <w:r w:rsidR="00000000" w:rsidRPr="00000000" w:rsidDel="00000000">
              <w:rPr>
                <w:rtl w:val="0"/>
              </w:rPr>
              <w:t xml:space="preserve"> apakšpunktā minētajos papildu uzsaukumos;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pēc būtības neatbalsta risinājumu, kas paredz piešķirt finansējumu biomasas kurināmā katla uzstādīšanai, neizvērtējot iespējas izmantot energoefektīvākas un gaisa piesārņošanas mazināšanai efektīvākas alternatīvas - pieslēgumus efektīvai centralizētās siltumapgādes sistēmai un ka otro alternatīvu, siltumsūkņu izmantošana. VARAM piedāvātā pieeja ir pretrunā "energoefektivitāte pirmajā vietā" principam un piedāvātās izmaiņas neatbilst Energoefektivitātes likuma 3.1 panta pirmajā daļa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pieeja jau tiek izmantota vairākās Ekonomikas ministrijas virzītās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ir būtiska programma, kas paredz mājsaimniecību malkas vai citas biomasas apkures aizstāšanu ar bezemisiju tehnoloģijam, kas faktiski nedod pienesumu SEG emisiju samazinasanai, taču vienlaikus dod ievērojamu ieguldījumu gaisa kvalitātes uzlabošanai, kas tieši ir šīs programmas mērķis, vienlaikus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trešajā un turpmākajos uzsaukumos primāri tiek atbalstīts pieslēgums efektīvai centralizētās siltumapgādes sistēmai un kā otrā prioritārā alternatīva siltumsūkņu izmantošanu. Katlu uzstādīšana būtu atbalstāma tikai tajos projektos, kur ir sniegts izvērtējums, ka efektīvākās iespējas nav tehniski iespējamas vai laikā ekonomiski nepamatotas izvēlēta risinājuma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aprakstītais aspekts par efektīvu centralizētās siltumapgādes sistēmu noteikšanu ir vienkārši risināms pirms vienotas centralizētas sistēmu efektivitātes vērtesanas (kas tiks attiecināts tikai uz regulētiem komersantiem), lūdzot centralizētās siltumapgādes sistēmu operatoriem (gan regulētiem, balstoties uz SPRK pieejamo sarakstu, gan neregulētiem caur pašvaldībām) iesniegt pašapliecinājumu par atbilstību efektīvas centralizetas siltumapgades sistemas kritērijiem (efektivitāte tiek vērtēta pēc sistēmā izmantotajiem energoresursiem un tehnoloģijām un komersantiem šie dati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Teksts tehniski nav korekts. Nav skaidrs, kā trešā uzsaukuma ietvaros plānoto projektu var iesniegt 4. vai turpmākajos uzsaukumos.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Lūdzam skatīt skaidrojumu izziņas 2. punktā un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trešais uzsaukums ir noslēdzies. Tehniskie precizējumi MK noteikumu Nr.169 9.3. apakšpunktā ir nepieciešami, lai tie projekti, kas tika noraidīti trešā uzsaukumā tādēļ, ka atradās 20 metru attālumā no centralizētās siltumapgādes tīkliem, bet dažādu iemeslu dēļ nevēlējās un neiesniedza projektu ceturtajā uzsaukumā, varētu pretendēt uz atbalstu pasākuma papildu uzsaukumu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trešā uzsaukuma ietvaros plānots īstenot centralizētās siltumapgādes apkalpošanas zonā 20 metru attālumā no centralizētās siltumapgādes tīkliem, projektu iesniedz šo noteikumu </w:t>
            </w:r>
            <w:r w:rsidR="00000000" w:rsidRPr="00000000" w:rsidDel="00000000">
              <w:rPr>
                <w:rtl w:val="0"/>
              </w:rPr>
              <w:t xml:space="preserve">9.4.</w:t>
            </w:r>
            <w:r w:rsidR="00000000" w:rsidRPr="00000000" w:rsidDel="00000000">
              <w:rPr>
                <w:rtl w:val="0"/>
              </w:rPr>
              <w:t xml:space="preserve"> apakšpunktā minētajā ceturtajā uzsaukumā vai šo noteikumu </w:t>
            </w:r>
            <w:r w:rsidR="00000000" w:rsidRPr="00000000" w:rsidDel="00000000">
              <w:rPr>
                <w:rtl w:val="0"/>
              </w:rPr>
              <w:t xml:space="preserve">9.5.</w:t>
            </w:r>
            <w:r w:rsidR="00000000" w:rsidRPr="00000000" w:rsidDel="00000000">
              <w:rPr>
                <w:rtl w:val="0"/>
              </w:rPr>
              <w:t xml:space="preserve"> apakšpunktā minētajos papildu uzsaukumos;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papildu uzsaukumu ietvaros atbilstoši šo noteikumu </w:t>
            </w:r>
            <w:r w:rsidR="00000000" w:rsidRPr="00000000" w:rsidDel="00000000">
              <w:rPr>
                <w:rtl w:val="0"/>
              </w:rPr>
              <w:t xml:space="preserve">11.</w:t>
            </w:r>
            <w:r w:rsidR="00000000" w:rsidRPr="00000000" w:rsidDel="00000000">
              <w:rPr>
                <w:rtl w:val="0"/>
              </w:rPr>
              <w:t xml:space="preserve"> punktam vērtē projektus atbilstoši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punktam. Sadarbības iestāde, vienojoties ar atbildīgo iestādi, pirms papildu uzsaukumu izsludināšanas var precizēt katrā atsevišķā uzsaukumā vērtējamo projektu veidus atbilstoši šo noteikumu </w:t>
            </w:r>
            <w:r w:rsidR="00000000" w:rsidRPr="00000000" w:rsidDel="00000000">
              <w:rPr>
                <w:rtl w:val="0"/>
              </w:rPr>
              <w:t xml:space="preserve">42.</w:t>
            </w:r>
            <w:r w:rsidR="00000000" w:rsidRPr="00000000" w:rsidDel="00000000">
              <w:rPr>
                <w:rtl w:val="0"/>
              </w:rPr>
              <w:t xml:space="preserve"> punktā minētajām atbalstāmajām darbībām un atbilstoši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noteiktajam, nodrošinot, ka papildu uzsaukumu ietvaros kopumā var iesniegt projektus ar vismaz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minētajām atbalstāmajām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KEM 18.marta atzinumā izteikto iebildumu, kas izteikts pie 9.3.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pēc būtības neatbalsta risinājumu, kas paredz piešķirt finansējumu biomasas kurināmā katla uzstādīšanai, neizvērtējot iespējas izmantot energoefektīvākas un gaisa piesārņošanas mazināšanai efektīvākas alternatīvas - pieslēgumus efektīvai centralizētās siltumapgādes sistēmai un ka otro alternatīvu, siltumsūkņu izmantošana. VARAM piedāvātā pieeja ir pretrunā "energoefektivitāte pirmajā vietā" principam un piedāvātās izmaiņas neatbilst Energoefektivitātes likuma 3.1 panta pirmajā daļa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pieeja jau tiek izmantota vairākās Ekonomikas ministrijas virzītās atbalsta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ir būtiska programma, kas paredz mājsaimniecību malkas vai citas biomasas apkures aizstāšanu ar bezemisiju tehnoloģijām, kas faktiski nedod pienesumu SEG emisiju samazināšanai, taču vienlaikus dod ievērojamu ieguldījumu gaisa kvalitātes uzlabošanai, kas tieši ir šīs programmas mērķis, vienlaikus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paredzēt, ka turpmākajos uzsaukumos primāri tiek atbalstīts pieslēgums efektīvai centralizētās siltumapgādes sistēmai un kā otrā prioritārā alternatīva siltumsūkņu izmantošanu. Katlu uzstādīšana būtu atbalstāma tikai tajos projektos, kur ir sniegts izvērtējums, ka efektīvākās iespējas nav tehniski iespējamas vai laikā ekonomiski nepamatotas izvēlēta risinājuma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aprakstītais aspekts par efektīvu centralizētās siltumapgādes sistēmu noteikšanu ir vienkārši risināms pirms vienotas centralizētas sistēmu efektivitātes vērtesanas (kas tiks attiecināts tikai uz regulētiem komersantiem), lūdzot centralizētās siltumapgādes sistēmu operatoriem (gan regulētiem, balstoties uz SPRK pieejamo sarakstu, gan neregulētiem caur pašvaldībām) iesniegt pašapliecinājumu par atbilstību efektīvas centralizetas siltumapgades sistemas kritērijiem (efektivitāte tiek vērtēta pēc sistēmā izmantotajiem energoresursiem un tehnoloģijām un komersantiem šie dati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papildu uzsaukumu ietvaros atbilstoši šo noteikumu 11. punktam vērtē projektus atbilstoši šo noteikumu 42. un 14.</w:t>
            </w:r>
            <w:r w:rsidR="00000000" w:rsidRPr="00000000" w:rsidDel="00000000">
              <w:rPr>
                <w:vertAlign w:val="superscript"/>
                <w:rtl w:val="0"/>
              </w:rPr>
              <w:t xml:space="preserve">1</w:t>
            </w:r>
            <w:r w:rsidR="00000000" w:rsidRPr="00000000" w:rsidDel="00000000">
              <w:rPr>
                <w:rtl w:val="0"/>
              </w:rPr>
              <w:t xml:space="preserve"> punktam,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šo noteikumu 42.1 punkta aktivitātes tiek atbalstītas, ja projektā nav tehniski vai ekonomiski pamatoti, vērtējot izmaksas projekta dzīves ciklā, īstenot šo noteikumu 42.2., 42.3. vai  42.4. punkta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9.5.2. šo noteikumu 42.2 un 42.4. punkta aktivitātes tiek atbalstītas, ja projektā nav tehniski vai ekonomiski pamatoti, vērtējot izmaksas projekta dzīves ciklā, īstenot šo noteikumu 42.3. punkta aktivitātes.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9.5. apakšpunktā, 45. punktā, 46. punktā, 43.</w:t>
            </w:r>
            <w:r w:rsidR="00000000" w:rsidRPr="00000000" w:rsidDel="00000000">
              <w:rPr>
                <w:vertAlign w:val="superscript"/>
                <w:rtl w:val="0"/>
              </w:rPr>
              <w:t xml:space="preserve">1</w:t>
            </w:r>
            <w:r w:rsidR="00000000" w:rsidRPr="00000000" w:rsidDel="00000000">
              <w:rPr>
                <w:rtl w:val="0"/>
              </w:rPr>
              <w:t xml:space="preserve"> punktā un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skatīt izziņas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papildu uzsaukumu ietvaros atbilstoši šo noteikumu </w:t>
            </w:r>
            <w:r w:rsidR="00000000" w:rsidRPr="00000000" w:rsidDel="00000000">
              <w:rPr>
                <w:rtl w:val="0"/>
              </w:rPr>
              <w:t xml:space="preserve">11.</w:t>
            </w:r>
            <w:r w:rsidR="00000000" w:rsidRPr="00000000" w:rsidDel="00000000">
              <w:rPr>
                <w:rtl w:val="0"/>
              </w:rPr>
              <w:t xml:space="preserve"> punktam vērtē visu veidu projektus atbilstoši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15 028 148,88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12 809 303 </w:t>
            </w:r>
            <w:r w:rsidR="00000000" w:rsidRPr="00000000" w:rsidDel="00000000">
              <w:rPr>
                <w:i w:val="1"/>
                <w:rtl w:val="0"/>
              </w:rPr>
              <w:t xml:space="preserve">euro</w:t>
            </w:r>
            <w:r w:rsidR="00000000" w:rsidRPr="00000000" w:rsidDel="00000000">
              <w:rPr>
                <w:rtl w:val="0"/>
              </w:rPr>
              <w:t xml:space="preserve"> un privātais līdzfinansējums – vismaz 2 218 845,88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4. aprīļa noteikumu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 noteikumi Nr. 169) 10. punktu,  norādot finansējumu noapaļotos skaitļos atbilstoši Viedās administrācijas un reģionālās attīstības ministrijas sniegtajiem priekšlikumiem Eiropas Savienības kohēzijas politikas programmas 2021.-2027.gadam grozījumos, attiecīgi precizējot informāciju arī pārējos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169  10.punkts, precizēta anotācija un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13 991 383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11 892 674 </w:t>
            </w:r>
            <w:r w:rsidR="00000000" w:rsidRPr="00000000" w:rsidDel="00000000">
              <w:rPr>
                <w:i w:val="1"/>
                <w:rtl w:val="0"/>
              </w:rPr>
              <w:t xml:space="preserve">euro</w:t>
            </w:r>
            <w:r w:rsidR="00000000" w:rsidRPr="00000000" w:rsidDel="00000000">
              <w:rPr>
                <w:rtl w:val="0"/>
              </w:rPr>
              <w:t xml:space="preserve"> un privātais līdzfinansējums – vismaz 2 098 709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vienu vai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Šajā noteikumu punktā minētos atbalstāmo darbību kombinēšanas nosacījumus var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paredzot, ka papildu uzsaukumos var īsenot arī 42.3. punktā minētās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9.5. apakšpunktā minēto papildu uzsaukumu ietvaros vienā projektā var īstenot un projektā kombinēt vienu vai vairākas šo noteikumu 42. punktā minētās atbalstāmās darbības. Šādā gadījumā projekta attiecināmās izmaksas nosaka katram dzīvokļa īpašumam atsevišķi atbilstoši šo noteikumu 13. punktam, piemērojot katrai atbalstāmajai darbībai šo noteikumu 14. punktā minētos nosacījumus. Šajā noteikumu punktā minētos atbalstāmo darbību kombinēšanas nosacījumus var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9.5. apakšpunktā, 45. punktā, 46. punktā, 43.</w:t>
            </w:r>
            <w:r w:rsidR="00000000" w:rsidRPr="00000000" w:rsidDel="00000000">
              <w:rPr>
                <w:vertAlign w:val="superscript"/>
                <w:rtl w:val="0"/>
              </w:rPr>
              <w:t xml:space="preserve">1</w:t>
            </w:r>
            <w:r w:rsidR="00000000" w:rsidRPr="00000000" w:rsidDel="00000000">
              <w:rPr>
                <w:rtl w:val="0"/>
              </w:rPr>
              <w:t xml:space="preserve"> punktā un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projektu kombinēšanas gadījumā VARAM ieskatā nav atbalstāma dalīto sistēmu izveidošana daudzdzīvokļu dzīvojamās mājās, kur Eiropas Savienības fondu līdzekļi tiek novirzīti pieslēguma centralizētajai siltumapgādes sistēmai izveidošanai, piemēram, tikai vienam dzīvokļa īpašumam daudzdzīvokļu dzīvojamā mājā, līdz ar to projektu kombinēšanas nosacījumos šāds atbalsts nav ietverts, vienlaikus grozījumos ietverts risinājums (jauns noteikumu 43.</w:t>
            </w:r>
            <w:r w:rsidR="00000000" w:rsidRPr="00000000" w:rsidDel="00000000">
              <w:rPr>
                <w:vertAlign w:val="superscript"/>
                <w:rtl w:val="0"/>
              </w:rPr>
              <w:t xml:space="preserve">1</w:t>
            </w:r>
            <w:r w:rsidR="00000000" w:rsidRPr="00000000" w:rsidDel="00000000">
              <w:rPr>
                <w:rtl w:val="0"/>
              </w:rPr>
              <w:t xml:space="preserve"> punkts), kurā paredzēts sniegt atbalstu arī tādām daudzdzīvokļu dzīvojamām mājām, kurās dažādu iemeslu dēļ dzīvokļu īpašnieki nespēj vienoties par pieslēguma centralizētajai siltumapgādes sistēmai un apkures sistēmas izveidošanai pilnīgi visos dzīvokļa īpašumos, ja projekts tiek īstenots aptveros vismaz trīs ceturtdaļas dzīvokļu īpašumu, tiek nodrošināts tehnisks risinājums ar vienkāršotu iespēju pieslēgties projektā uzstādāmajām iekārtām visiem dzīvokļu īpašumiem vēlākā periodā (atsevišķs mezgls ar dzīvokļa pieslēgumam paredzēto infrastruktūru)  un projekta ietvaros tiek attiecinātas tikai pieslēguma centralzizētajai siltumapgādes sistēmai (netiek attiecinās izmaksas apkures sadales sistēmas un karstā ūdens sadales sistēmas izveides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Šajā noteikumu punktā minētos atbalstāmo darbību kombinēšanas nosacījumus var piemērot: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viens no dzīvojamās mājas īpašniekiem šo noteikumu </w:t>
            </w:r>
            <w:r w:rsidR="00000000" w:rsidRPr="00000000" w:rsidDel="00000000">
              <w:rPr>
                <w:rtl w:val="0"/>
              </w:rPr>
              <w:t xml:space="preserve">18.3.</w:t>
            </w:r>
            <w:r w:rsidR="00000000" w:rsidRPr="00000000" w:rsidDel="00000000">
              <w:rPr>
                <w:rtl w:val="0"/>
              </w:rPr>
              <w:t xml:space="preserve"> apakšpunktā minētajā dzīvojamā mājā, ja kopīpašnieki atbilstoši Dzīvojamo māju pārvaldīšanas likuma prasībām ir pilnvarojuši dzīvojamās mājas īpašnieku iesniegt projekta iesniegumu un īstenot projektu, kā arī dzīvojamās mājas pārvaldnieks ir sniedzis atzinumu, iekļaujot tajā viedokli vismaz par projekta risinājuma atbilstību normatīvo aktu prasībām dzīvojamo māju pārvaldīšanas un būvniecības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jautājums ir risināms paredzot, ka kopīpašnieku pilnvarotā persona var iesniegt pieteikumu arī par 18.3.punktā minētajām ēkām. Vienlaikus dzīvojamo māju pārvaldīšanu regulējošie normatīvie akti nenosaka prasības apkures sistēmām, savukārt risinājumam pašam par sevi ir jāatbilst būvniecību regulējošiem normatīviem aktiem. Līdz ar to atsauce uz pārvaldnieka atzinumu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169 17.1 apakšpunkts un svītrots 17.3.apakšpunkts.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normatīvā akta izziņā vai anotācijā sniegt informāciju par plānoto papildu uzsaukuma izsludināšanas periodu un projektu iesniegumu vērtēšanas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plānoti vismaz divi papildu uzsaukumi, pirmo papildu uzsaukumu izsludinot uzreiz pēc noteikumu projekta apstiprināšanas (2025.gada II ceturksnis), un nākošo papildu uzsaukumu izsludinot 2025.gada III ceturksnī. Citu papildu uzsaukumu pieejamību ietekmēs pēc uzsaukumiem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projektu atsaukšanai un pārtraukšanai ir šādi: mainījušās piegādātāju cenas un mazinājies paredzētais projekta izdevīgums, izmaiņas Enerģētikas likuma neto norēķinu sistēmā saules sistēmām, vienlaicīgi iesniegti projekti vairākās atbalsta programmās, kurās atsevišķas atbalstāmās darbības un attiecināmās izmaksas pārklājas, dzīvojamās mājas īpašnieku nespēja vienoties par projekta risinājumu un citi iemesli."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precizēt minēto anotācijas teikumu ar plašāku informāciju par izmaiņām, kas saistītas ar regulējumu elektroenerģijas aktīvajiem lietotājiem (neto sistēmu) KEM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projektu atsaukšanai un pārtraukšanai ir šādi: mainījušās piegādātāju cenas un mazinājies paredzētais projekta izdevīgums, grozījumi Enerģētikas likumā, kas paredzēja no 2024. gada pārtraukt iespēju jauniem lietotājiem piedalīties neto uzskaites sistēmā un tās aizstāšanu ar neto norēķinu sistēmu, vienlaicīgi iesniegti projekti vairākās atbalsta programmās, kurās atsevišķas atbalstāmās darbības un attiecināmās izmaksas pārklājas, dzīvojamās mājas īpašnieku nespēja vienoties par projekta risinājumu un citi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2.2.3.6. pasākuma “Gaisa piesārņojumu mazinošu pasākumu īstenošana, uzlabojot mājsaimniecību siltumapgādes sistēmas” kopējā Eiropas reģionālās attīstības fonda finansējuma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noteikumos Nr. 169 ir saistīti ne tikai ar nosacījumiem turpmākajiem projektu iesniegumu atlases uzsaukumiem, bet arī tiek precizēti noteikumu Nr.169 42.punktā noteiktie atbalstāmo darbību nosacījumi, lūdzam papildināt anotāciju ar informāciju par to, vai grozījumiem būs ietekmē uz īstenošanā esošajiem pirmās, otrās, trešās un ceturtās uzsaukuma projektiem. Ja šāda ietekme ir, lūdzam anotācijā norādīt, vai būs nepieciešami grozījumi līgumos par projekta īstenošanu un kā finansējuma saņēmēji tiks informēti par veiktajiem grozījumiem noteikumu Nr.169 nosacījumos.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Sniedzam skaidrojumu, ka grozījumi noteikumu 42.punktā ir tehniski, tie neietekmēs 1.-.4.uzsaukuma projektus, kuri ir īstenošanā, kā arī precizējumi nemaina nosacījumu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3.sadaļā sniegto informāciju par maksājumiem 2026.gadā, jo, saskaitot kopā norādīto finansējumu 2026.gadam ailē “saskaņā ar vidēja termiņa budžeta ietvaru” ar ailē “izmaiņas, salīdzinot ar vidēja termiņa budžeta ietvaru” norādīto samazinājumu, kopsumma veidojas 3 449 454 euro apmērā, kas nesakrīt ar 6.punktā norādīto finansējumu 2026.gada maksājumiem 4 000 000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ailēs “saskaņā ar valsts budžetu kārtējam gadam” un “saskaņā ar vidēja termiņa budžeta ietvaru” 1.1. un 2.1. apakšpunktos norādīt jau pasākuma īstenošanai paredzēto finansējumu, kas paredzēts sadarbības iestādes budžetā maksājumu veikšanai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- 6.punktā norādīt pasākuma finansējuma apmēru, t.sk. sadalījumā pa finansējuma avotiem, norādot, kādā apmērā tas tiek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“Cita informācija” papildināt ar norādi, ka finansējums projektu īstenošanai attiecībā uz ERAF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protokollēmumu ar punktu, nosakot Eiropas Savienības kohēzijas politikas programmas 2021.-2027. gadam (turpmāk – Programma) 2.2.3. specifiskā atbalsta mērķa “Uzlabot dabas aizsardzību un bioloģisko daudzveidību, “zaļo” infrastruktūru, it īpaši pilsētvidē, un samazināt piesārņojumu”  2.2.3.7. pasākuma “Gaisa piesārņojošo vielu emisiju samazināšana pašvaldību siltumapgādē” (turpmāk - 2.2.3.7. pasākums) pieejamo finansējumu pēc piedāvātajām pārdalēm, tādējādi samazinot administratīvo slogu un negrozot 2.2.3.7. pasākuma Ministru kabineta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protokollēmuma 3.punkts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Eiropas Savienības kohēzijas politikas programmas 2021.–2027. gadam (turpmāk- programmas) 2.2.3.6.pasākumā “Gaisa piesārņojumu mazinošu pasākumu īstenošana, uzlabojot mājsaimniecību siltumapgādes sistēmas” izmantot neizlietoto programmas 2.2.3.7. pasākuma “Gaisa piesārņojošo vielu emisiju samazināšana pašvaldību siltumapgādē” finansējumu 366 083 euro apmērā, neveicot grozījumus Ministru kabineta 2024. gada 6. februāra noteikumos Nr. 91 “Eiropas Savienības kohēzijas politikas programmas 2021.–2027. 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 lūdzam MK noteikumu protokollēmuma projektu papildināt ar jaunu punktu, kas lemtu par šīs finansējuma pārdales veikšanu, neveicot grozījumus minētajos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tiek atbalstīta Kohēzijas fonda finansējuma novirzīšana 366 083 euro apmērā no Eiropas Savienības kohēzijas politikas programmas 2021.–2027. gadam 2.2.3. specifiskā atbalsta mērķa "Uzlabot dabas aizsardzību un bioloģisko daudzveidību, "zaļo" infrastruktūru, it īpaši pilsētvidē, un samazināt piesārņojumu"   2.2.3.7. pasākuma “Gaisa piesārņojošo vielu emisiju samazināšana pašvaldību siltumapgādē” (turpmāk – 2.2.3.7. pasākums) uz 2.2.3. specifiskā atbalsta mērķa "Uzlabot dabas aizsardzību un bioloģisko daudzveidību, "zaļo" infrastruktūru, it īpaši pilsētvidē, un samazināt piesārņojumu"  2.2.3.6.pasākumu “Gaisa piesārņojumu mazinošu pasākumu īstenošana, uzlabojot mājsaimniecību siltumapgādes sistēmas”. Finansējuma pārdale tiek veikta, ievērojot, ka par visu 2.2.3.7. pasākuma kārtas ietvaros apstiprināto projektu īstenošanu ir noslēgti civiltiesiskie līgumi vai vienošanās un palicis neizmantots Kohēzijas fonda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ierosinātās pārdales Eiropas Savienības kohēzijas politikas programmai 2021.–2027.gadam, precizēts MK noteikumu Nr. 169 10.punkts, MK sēdes protokollēmums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formulējumu, jo pēc piedāvātās redakcijas izriet, ka vērtība uzskatāma kā sasniegta tikai tad, ja faktiskais deklarēto iedzīvotāju skaits atbilst projekta iesniegumā norādītajam. Var būt situācijas, ka projekta iesniegumā plānotais iedzīvotāju skaits atšķiras no tā, kāds tas ir maksājuma pieprasījuma iesniegšanas brīdī, līdz ar to tiek nepieciešamības gadījumā tiek koriģēts apstiprināmais atbalsta apmērs (samazinot to), bet rādītājs tiek norādīts un akceptēts atbilstoši faktiskajam.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5.1. apakšpunktā minēto rezultāta rādītāja vērtību nosaka atbilstoši personu skaitam, kuras deklarējušas dzīvesvietu dzīvojamā mājā, dzīvokļa īpašumā vai dzīvokļu īpašumos projekta īstenošanas vietā noslēguma maksājuma pieprasījuma iesniegšanas dienā. Sasniegtās vērtības apmērs nosakāms, pamatojoties uz datiem par deklarēto iedzīvotāju skaitu projekta noslēguma maksājuma pieprasījuma iesniegšanas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 Sasniegtās vērtības apmērs nosakāms, pamatojoties uz datiem par deklarēto iedzīvotāju skaitu projekta noslēguma maksājuma pieprasījuma iesniegšanas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13 991 381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11 892 674 </w:t>
            </w:r>
            <w:r w:rsidR="00000000" w:rsidRPr="00000000" w:rsidDel="00000000">
              <w:rPr>
                <w:i w:val="1"/>
                <w:rtl w:val="0"/>
              </w:rPr>
              <w:t xml:space="preserve">euro</w:t>
            </w:r>
            <w:r w:rsidR="00000000" w:rsidRPr="00000000" w:rsidDel="00000000">
              <w:rPr>
                <w:rtl w:val="0"/>
              </w:rPr>
              <w:t xml:space="preserve"> un privātais līdzfinansējums – vismaz 2 098 707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4. aprīļa noteikumu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-MK noteikumi) 10.punktā norādīto privāto līdzfinansējumu to nosakot 2 098 709 euro, attiecīgi pasākumam pieejamo finansējumu nosakot 13 991 383 euro, tādējādi saglabājot korektu pasākuma Eiropas Reģionālās attīstības fonda finansējuma intensitāti, kas nepārsniedz 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pieejamais finansējums ir 13 991 383 euro, tai skaitā Eiropas Reģionālās attīstības fonda finansējums – 11 892 674 euro un privātais līdzfinansējums – vismaz 2 098 709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13 991 383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11 892 674 </w:t>
            </w:r>
            <w:r w:rsidR="00000000" w:rsidRPr="00000000" w:rsidDel="00000000">
              <w:rPr>
                <w:i w:val="1"/>
                <w:rtl w:val="0"/>
              </w:rPr>
              <w:t xml:space="preserve">euro</w:t>
            </w:r>
            <w:r w:rsidR="00000000" w:rsidRPr="00000000" w:rsidDel="00000000">
              <w:rPr>
                <w:rtl w:val="0"/>
              </w:rPr>
              <w:t xml:space="preserve"> un privātais līdzfinansējums – vismaz 2 098 709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vienu vai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Šajā noteikumu punktā minētos atbalstāmo darbību kombinēšanas nosacījumus var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nosacījumu ka viena projekta ietvaros var kombinēt arī tikai vienu šo noteikumu 42.1., 42.2. vai 42.4. apakšpunktos minēto atbalstāmo darbību, jo tādējādi tiek izslēgta iespēja piemērot MK noteikumu 19.punktu.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9.5. apakšpunktā minēto papildu uzsaukumu ietvaros vienā projektā var īstenot un projektā kombinēt vairākas šo noteikumu 42.1., 42.2. un 42.4. apakšpunktā minētās atbalstāmās darbības. Šādā gadījumā projekta attiecināmās izmaksas nosaka katram dzīvokļa īpašumam atsevišķi atbilstoši šo noteikumu 13. punktam, piemērojot katrai atbalstāmajai darbībai šo noteikumu 14. punktā minētos nosacījumus. Šajā noteikumu punktā minētos atbalstāmo darbību kombinēšanas nosacījumus var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14.</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Šajā noteikumu punktā minētos atbalstāmo darbību kombinēšanas nosacījumus var piemērot: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var īstenot vienā dzīvokļa īpašumā vai vairākos dzīvokļu īpašumos, neaptverot visus dzīvojamās mājas dzīvokļu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atbalstāmajām darbībām daudzīvokļu mājā, ja tajā pilnā apmērā netiek īstenots projekts, piemēram, tikai divos no trim dzīvokļiem, un nenonāktu pretrunā ar 14.(prim) pantā noteikto, ka kombinētajos siltumapgādes projektos tie jāisteno visā mājā. papildusnorādām, ka iepriekšējos uzsaukumos bija izmantota šāda pieeja - ja projekts tiek īstenods daļā no daudzīvokļu mājas dzīvokļiem, tiem bija jānodrošina viena veida risinājums (individuāli granulu katli vai siltumsūknis katrā dzīvokļa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var īstenot vienā dzīvokļa īpašumā vai vairākos dzīvokļu īpašumos, neaptverot visus dzīvojamās mājas dzīvokļu īpašumus, ja tiek nodrošināta šo noteikumu 22. punktā minētā prasība un projekta ietvaros katram dzīvokļa īpašumam tiek nodrošināts individuāls siltumapgādes risinājums atbilstoši vienai šo noteikumu 42.1., 42.2. un 42.4. apakšpunktā minētai atbalstāmai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var īstenot vienā dzīvokļa īpašumā vai vairākos dzīvokļu īpašumos, neaptverot visus dzīvojamās mājas dzīvokļu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 vienai no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minētai atbalstāmai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noteikumu 35.punktā svītrot vārdus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169  35.punkts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24-TA-2196</w:t>
    </w:r>
    <w:r>
      <w:br/>
    </w:r>
    <w:r w:rsidR="00000000" w:rsidRPr="00000000" w:rsidDel="00000000">
      <w:rPr>
        <w:rtl w:val="0"/>
      </w:rPr>
      <w:t xml:space="preserve">09.07.2025. 11.34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24-TA-2196</w:t>
    </w:r>
    <w:r>
      <w:br/>
    </w:r>
    <w:r w:rsidR="00000000" w:rsidRPr="00000000" w:rsidDel="00000000">
      <w:rPr>
        <w:rtl w:val="0"/>
      </w:rPr>
      <w:t xml:space="preserve">09.07.2025. 11.34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Izziņa_24-TA-2196.docx</dc:title>
</cp:coreProperties>
</file>

<file path=docProps/custom.xml><?xml version="1.0" encoding="utf-8"?>
<Properties xmlns="http://schemas.openxmlformats.org/officeDocument/2006/custom-properties" xmlns:vt="http://schemas.openxmlformats.org/officeDocument/2006/docPropsVTypes"/>
</file>