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(22.08.2024.)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20.05.2026. 09:25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aktuālā noteikumu projekta </w:t>
            </w:r>
            <w:r w:rsidR="00000000" w:rsidRPr="00000000" w:rsidDel="00000000">
              <w:rPr>
                <w:i w:val="1"/>
                <w:rtl w:val="0"/>
              </w:rPr>
              <w:t xml:space="preserve">(versija 2.0)</w:t>
            </w:r>
            <w:r w:rsidR="00000000" w:rsidRPr="00000000" w:rsidDel="00000000">
              <w:rPr>
                <w:rtl w:val="0"/>
              </w:rPr>
              <w:t xml:space="preserve"> ir papildināta ar 5. punktu, kurš paredz izteikt Ministru kabineta 2023. gada 5. septembra noteikumu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(turpmāk - MK noteikumi Nr. 509) 14.1. apakšpunktu jaunā redakcijā, svītrojot no konkrētās normas ierobežojumu par 30% daļlaika noslodzi tiešajām attiecināmām personāla izmaksām, vēršam uzmanību uz būtiskākajām pretrunām, kas izriet no noteikumu projekta anotācijā </w:t>
            </w:r>
            <w:r w:rsidR="00000000" w:rsidRPr="00000000" w:rsidDel="00000000">
              <w:rPr>
                <w:i w:val="1"/>
                <w:rtl w:val="0"/>
              </w:rPr>
              <w:t xml:space="preserve">(versija 2.0) </w:t>
            </w:r>
            <w:r w:rsidR="00000000" w:rsidRPr="00000000" w:rsidDel="00000000">
              <w:rPr>
                <w:rtl w:val="0"/>
              </w:rPr>
              <w:t xml:space="preserve">norādītā skaidrojuma par MK noteikumu Nr. 509 14.1. apakšpunkta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lūdzam noteikumu projekta anotācijas 1.3. sadaļas problēmas aprakstā dzēst pamatojumu, ka MK noteikumu Nr. 509 14.1. apakšpunktā ietvertais ierobežojums par 30% daļlaika noslodzi ir pretrunā ar Vadlīniju attiecināmo izmaksu noteikšanai Eiropas Savienības kohēzijas politikas programmas 2021.-2027.gada plānošanas periodā, jo vadlīniju grozījumu saskaņošanas procesā </w:t>
            </w:r>
            <w:r w:rsidR="00000000" w:rsidRPr="00000000" w:rsidDel="00000000">
              <w:rPr>
                <w:u w:val="single"/>
                <w:rtl w:val="0"/>
              </w:rPr>
              <w:t xml:space="preserve">(izziņā) tika skaidrots kā jaunā vadlīniju redakcija ir jāpiemēro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w:t>
            </w:r>
            <w:r w:rsidR="00000000" w:rsidRPr="00000000" w:rsidDel="00000000">
              <w:rPr>
                <w:rtl w:val="0"/>
              </w:rPr>
              <w:t xml:space="preserve"> Apstiprinātie MK noteikumi tiek īstenoti ievērojot šobrīd spēkā esošās vadlīnijas (piemēram, ar ierobežojumiem), bet ja pati atbildīgā iestāde vēlēsies apstiprinātajos MK noteikumos iekļaut jauno vadlīniju redakciju (bez ierobežojumiem), tad veicot grozījumus MK noteikumos būs jāprecizē viss kopums, ko nosaka jaunā vadlīniju redakcija (jāprecizē visas pozīcijas, kuras skar jaunā vadlīniju redakcija, nevis izvēlēties, ko precizēt un ko atstāt pēc vecās redakcijas). Papildus būs jāfiksē datums līdz kuram projektā tiek piemērotas vecā vadlīniju redakcija un brīdis no kura tiek piemērota vadlīniju jaunā redakcija, lai nodrošinātu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MK noteikumi, kuri ir izstrādes stadijā (TAP skaņošana) – pati atbildīgā iestāde izvēlas, kuru vadlīniju redakciju piemērot. Ja izvēlas jauno redakciju, tad MK noteikumos visas plānotās pozīcijas plāno pēc jaunajām vadlīnijām, ja vecā redakcija, visas pozīcijas plāno pēc vecajām vadlīnijām. Nav attiecināma pieeja, kad MK noteikumos plāno pozīcijas no abu vadlīniju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w:t>
            </w:r>
            <w:r w:rsidR="00000000" w:rsidRPr="00000000" w:rsidDel="00000000">
              <w:rPr>
                <w:rtl w:val="0"/>
              </w:rPr>
              <w:t xml:space="preserve">Nākotnes MK noteikumi (TAP nav bijuši skaņošanā) – tiks piemērota jaunā vadlīniju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anotāciju papildināt ar informāciju, vai ir tikušas pārvērtētas visas izmaksu pozīcijas un nosacījumi MK noteikumos Nr. 509, t.sk., ietekme uz jau īstenošanā esošajiem projektiem, vai projekta atbalstāmās darbības tiek īstenotas atbilstoši drošas finanšu pārvaldības principiem, ievērojot samērīguma principus, un visas darbības tiek veiktas, lai publiskais finansējums tiktu investēts lietderīgi, efektīvi, atbildīgi, rūpīgi un atbilstoši plānotajam mērķim un saskaņā ar normatīvo regulējumu. Tāpat vēršam uzmanību, ka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509 14.1. apakšpunkts atstāts sākotnējā redakcijā, no grozījumu projekta precizējums izņemts.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11:24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precizēt un samazināt pasākuma īstenošanai plānoto kopējo finansējumu, lūdzam attiecīgi aizpildīt anotācijas 3.sadaļu, sniedzot informāciju par projekta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finansējums,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pēc grozījumiem viss finansējums plānots vienā intervences kodā Nr. 152 "Pasākumi, kas veicina vienlīdzīgas iespējas un aktīvu līdzdalību sabiedrībā”. Anotācijas 1.3. sadaļa papildināta: "Viss finansējums plānots intervences kodā Nr. 152 "Pasākumi, kas veicina vienlīdzīgas iespējas un aktīvu līdzdalību sabiedrībā”."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problēmas aprakstā tiek skaidrots, ka "MK noteikumos Nr. 509 noteiktie iznākuma un rezultāta rādītāji [3] ir sasniegti, tomēr papildu piešķirtā elastības finansējuma ietvaros projekta darbību īstenošanai finansējuma saņēmējam nepieciešams pagarināt termiņu". Papildus anotācijā minot, ka termiņa pagarinājums tapis atsaucoties uz finansējuma saņēmēja lūgumu. Lūdzam minēto skaidrojumu papildināt un norādīt izvērstākus termiņa pagarināšanas nepieciešamības iemeslus.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1.3.sadaļu un skaidrot noteikumu projekta ietekmi uz finansējuma saņēmējiem, līgumos nostiprinātajām saistībām un noteiktajiem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"Pamatojoties uz veiktajiem grozījumiem MK noteikumos Nr. 509, būs nepieciešams veikt grozījumus arī līgumos par investīciju projektu Nr. 4.3.4.4/1/23/I/001 un Nr. 4.3.4.4/1/23/I/002 īstenošanu, precizējot projekta budžeta kopsavilkumu, finansēšanas plānu, īstenošanas grafiku, darbību aprakstu un nepieciešamības gadījumā arī citas sadaļas. Ņemot vērā, ka priekšlikumu pagarināt projektu īstenošanas periodu ir ierosinājuši paši finansējuma saņēmēji, šie grozījumi pozitīvi ietekmēs viņu intereses, dodot iespēju palielināt projekta ietvaros sasniedzamos rezultātus un paaugstināt ieguldītā finansējuma atdevi."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1 704 368 </w:t>
            </w:r>
            <w:r w:rsidR="00000000" w:rsidRPr="00000000" w:rsidDel="00000000">
              <w:rPr>
                <w:i w:val="1"/>
                <w:rtl w:val="0"/>
              </w:rPr>
              <w:t xml:space="preserve">euro </w:t>
            </w:r>
            <w:r w:rsidR="00000000" w:rsidRPr="00000000" w:rsidDel="00000000">
              <w:rPr>
                <w:rtl w:val="0"/>
              </w:rPr>
              <w:t xml:space="preserve">(tai skaitā elastības finansējums 238 896 </w:t>
            </w:r>
            <w:r w:rsidR="00000000" w:rsidRPr="00000000" w:rsidDel="00000000">
              <w:rPr>
                <w:i w:val="1"/>
                <w:rtl w:val="0"/>
              </w:rPr>
              <w:t xml:space="preserve">euro</w:t>
            </w:r>
            <w:r w:rsidR="00000000" w:rsidRPr="00000000" w:rsidDel="00000000">
              <w:rPr>
                <w:rtl w:val="0"/>
              </w:rPr>
              <w:t xml:space="preserve">), tai skaitā Eiropas Sociālā fonda Plus finansējums 1 448 713​​​​​​​ </w:t>
            </w:r>
            <w:r w:rsidR="00000000" w:rsidRPr="00000000" w:rsidDel="00000000">
              <w:rPr>
                <w:i w:val="1"/>
                <w:rtl w:val="0"/>
              </w:rPr>
              <w:t xml:space="preserve">euro </w:t>
            </w:r>
            <w:r w:rsidR="00000000" w:rsidRPr="00000000" w:rsidDel="00000000">
              <w:rPr>
                <w:rtl w:val="0"/>
              </w:rPr>
              <w:t xml:space="preserve">(tai skaitā elastības finansējums 203 062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valsts budžeta līdzfinansējums 255 655​​​​​​​ </w:t>
            </w:r>
            <w:r w:rsidR="00000000" w:rsidRPr="00000000" w:rsidDel="00000000">
              <w:rPr>
                <w:i w:val="1"/>
                <w:rtl w:val="0"/>
              </w:rPr>
              <w:t xml:space="preserve">euro </w:t>
            </w:r>
            <w:r w:rsidR="00000000" w:rsidRPr="00000000" w:rsidDel="00000000">
              <w:rPr>
                <w:rtl w:val="0"/>
              </w:rPr>
              <w:t xml:space="preserve">(tai skaitā elastības finansējums 35 834​​​​​​​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6.punktā norādīto finansējumu, lai nodrošinātu, ka Eiropas Sociālā fonda Plus finansējums nepārsniedz 85% atbilstoši Eiropas Savienības kohēzijas politikas programmas 2021.–2027. gadam (turpmāk - Programma) papildinājumā norādītajam, kas ir pieejams Eiropas Savienības fondu mājas lapā šeit: https://www.esfondi.lv/profesionaliem/planosana/planotas-atlases-2.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informāciju attiecībā uz elastības finansējumu (noteikumiu 6. un 8. punkts), ņemot vērā, ka ir saņemts Eiropas Komisijas lēmums par vidusposma pārskatu, kā arī Programmā ir veikti attiecīgi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kopējais </w:t>
            </w:r>
            <w:r w:rsidR="00000000" w:rsidRPr="00000000" w:rsidDel="00000000">
              <w:rPr>
                <w:b w:val="1"/>
                <w:rtl w:val="0"/>
              </w:rPr>
              <w:t xml:space="preserve">pieejamais </w:t>
            </w:r>
            <w:r w:rsidR="00000000" w:rsidRPr="00000000" w:rsidDel="00000000">
              <w:rPr>
                <w:rtl w:val="0"/>
              </w:rPr>
              <w:t xml:space="preserve">finansējums ir 1 704 36</w:t>
            </w:r>
            <w:r w:rsidR="00000000" w:rsidRPr="00000000" w:rsidDel="00000000">
              <w:rPr>
                <w:b w:val="1"/>
                <w:rtl w:val="0"/>
              </w:rPr>
              <w:t xml:space="preserve">9</w:t>
            </w:r>
            <w:r w:rsidR="00000000" w:rsidRPr="00000000" w:rsidDel="00000000">
              <w:rPr>
                <w:rtl w:val="0"/>
              </w:rPr>
              <w:t xml:space="preserve"> euro, tai skaitā Eiropas Sociālā fonda Plus finansējums 1 448 713 euro un valsts budžeta līdzfinansējums 255 65</w:t>
            </w:r>
            <w:r w:rsidR="00000000" w:rsidRPr="00000000" w:rsidDel="00000000">
              <w:rPr>
                <w:b w:val="1"/>
                <w:rtl w:val="0"/>
              </w:rPr>
              <w:t xml:space="preserve">6</w:t>
            </w:r>
            <w:r w:rsidR="00000000" w:rsidRPr="00000000" w:rsidDel="00000000">
              <w:rPr>
                <w:rtl w:val="0"/>
              </w:rPr>
              <w:t xml:space="preserve"> euro. Maksimālais Eiropas Sociālā fonda Plus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i w:val="1"/>
                <w:rtl w:val="0"/>
              </w:rPr>
              <w:t xml:space="preserve">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 svītrots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kopējais pieejamais finansējums ir 1 704 369 </w:t>
            </w:r>
            <w:r w:rsidR="00000000" w:rsidRPr="00000000" w:rsidDel="00000000">
              <w:rPr>
                <w:i w:val="1"/>
                <w:rtl w:val="0"/>
              </w:rPr>
              <w:t xml:space="preserve">euro</w:t>
            </w:r>
            <w:r w:rsidR="00000000" w:rsidRPr="00000000" w:rsidDel="00000000">
              <w:rPr>
                <w:rtl w:val="0"/>
              </w:rPr>
              <w:t xml:space="preserve">, tai skaitā Eiropas Sociālā fonda Plus finansējums 1 448 713 </w:t>
            </w:r>
            <w:r w:rsidR="00000000" w:rsidRPr="00000000" w:rsidDel="00000000">
              <w:rPr>
                <w:i w:val="1"/>
                <w:rtl w:val="0"/>
              </w:rPr>
              <w:t xml:space="preserve">euro </w:t>
            </w:r>
            <w:r w:rsidR="00000000" w:rsidRPr="00000000" w:rsidDel="00000000">
              <w:rPr>
                <w:rtl w:val="0"/>
              </w:rPr>
              <w:t xml:space="preserve">un valsts budžeta līdzfinansējums 255 656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ne retāk kā reizi trijos mēnešos ievieto savā tīmekļvietnē aktuālo informāciju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un nenoteikt stingrākas prasības par tām, kas paredzētas ES fondu 2021.–2027. gada un Atveseļošanas fonda komunikācijas un dizaina vadlīnijās. Esošajā redakcijā ir noteikts, ka informācija jāaktualizē ne retāk kā reizi trijos mēnešos, taču ierosinām norādīt tikai to, ka informācija jāaktualizē, ja tas ir nepieciešams, nenosakot konkrētu biežumu. Tas ļautu saglabāt prasības atbilstošas vadlīnijām, neieviešot stingrākus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ievieto savā tīmekļvietnē aktuālo informāciju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īstenošanas laikā nodrošina interešu konflikta neesību saskaņā ar Eiropas Parlamenta un Padomes 2024. gada 23. septembra </w:t>
            </w:r>
            <w:r w:rsidR="00000000" w:rsidRPr="00000000" w:rsidDel="00000000">
              <w:rPr>
                <w:rtl w:val="0"/>
              </w:rPr>
              <w:t xml:space="preserve">Regulas (ES, Euratom) 2024/2509</w:t>
            </w:r>
            <w:r w:rsidR="00000000" w:rsidRPr="00000000" w:rsidDel="00000000">
              <w:rPr>
                <w:rtl w:val="0"/>
              </w:rPr>
              <w:t xml:space="preserve"> par finanšu noteikumiem, ko piemēro Savienības vispārējam budžetam (pārstrādāta redakcija), 61. panta prasībām, tai skaitā paraksta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Ministru kabineta 2023. gada 5. septembra noteikumu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(turpmāk - noteikumi) 22.9. apakšpunktā ietvertās atsauces uz Eiropas Parlamenta un Padomes 2024. gada 23. septembra Regulas (ES, Euratom) 2024/2509 par finanšu noteikumiem, ko piemēro Savienības vispārējam budžetam (pārstrādātā redakcija) (turpmāk - Regula) 61. pantu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nav uzskatāms par daudzpakāpju projektu, interešu konflikta neesības prasības noteikšana noteikumos nav pamatota, tādēļ aicinām precizēt noteikumu projekta 4. punktu un svītrot noteikumu 22.9. apakšpunktā norādīto interešu konflikta neesības apliecinājuma prasību, kā arī atsauci uz Regulas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22.9. apakšpunkta redakcija - "22.9. nodrošina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apakšpunkts MK noteikumu sākotnējā redakcijā tika iekļauts, pamatojoties uz FM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26-TA-546</w:t>
    </w:r>
    <w:r>
      <w:br/>
    </w:r>
    <w:r w:rsidR="00000000" w:rsidRPr="00000000" w:rsidDel="00000000">
      <w:rPr>
        <w:rtl w:val="0"/>
      </w:rPr>
      <w:t xml:space="preserve">08.06.2026. 16.40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26-TA-546</w:t>
    </w:r>
    <w:r>
      <w:br/>
    </w:r>
    <w:r w:rsidR="00000000" w:rsidRPr="00000000" w:rsidDel="00000000">
      <w:rPr>
        <w:rtl w:val="0"/>
      </w:rPr>
      <w:t xml:space="preserve">08.06.2026. 16.40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Izziņa_26-TA-546.docx</dc:title>
</cp:coreProperties>
</file>

<file path=docProps/custom.xml><?xml version="1.0" encoding="utf-8"?>
<Properties xmlns="http://schemas.openxmlformats.org/officeDocument/2006/custom-properties" xmlns:vt="http://schemas.openxmlformats.org/officeDocument/2006/docPropsVTypes"/>
</file>