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22-TA-1590: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situācijas attīstību saistībā ar izejvielu un būvizstrādājumu pieejamību un straujo cenu kāpumu Latvijas būvniecības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ilgstošām vairāku mēnešu diskusijām, šī gada 30. jūnijā Ekonomikas ministrija publicēja Vadlīnijas būvmateriālu izmaksu sadārdzinājuma novērtēšanai sakarā ar Krievijas militāro agresiju Ukrainā grozījumu veikšanai spēkā esošajos publiskajos būvdarbu līgumos attiecībā uz ēku būvniecību (turpmāk- Vadlīnijas). Lai gan diskusijas par sadārdzinājuma novērtēšanu bija ilgstošas, Vadlīniju sagatavošanas procesā netika veikta analīze, cik daudz ir tādu būvniecības līgumu, kuru ietvaros Vadlīnijas varētu piemērot, kā arī netika veikti aprēķini par aptuvenu izmaksu sadārdzinājumu, lai gan Vadlīnijas ir attiecināmas uz sadārdzinājumu esošos un jaunos līgumos, ja tas radies pēc 01.03.2022., tas ir, 4 mēnešus pirms Vadlīniju apstiprināšanas. Līdz ar to, ne Vadlīniju izstrādes laikā, ne šobrīd nav apkopotas informācijas par Vadlīniju piemērošanas fiskālo ietekmi. Turklāt, tieši neziņa par sadārdzinājuma apmēriem naudas izteiksmē bija viens no argumentiem, kāpēc Vadlīnijas tapa tik ilgstoši.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esošo būvniecības līgumu indeksācijai, svarīgi ir ņemt vērā, ka 2023. gada 1. janvārī spēkā stāsies Ministru kabineta noteikumi Nr. 419 Noteikumi par publisko būvdarbu līgumos obligāti ietveramajiem noteikumiem un to saturu, kas cita starpā paredz,  publiskajā būvdarbu līgumā, kura izpildes termiņš pārsniedz vienu gadu, iekļauj būvdarbu līgumcenas indeksācijas noteikumus. Līdz ar to, sākot no 2023. gada būvniecības līgumu cenu indeksācija kļūs par pastāvīgu noteikumu, kam būs noteikta fiskāla ietekme uz valsts budžetu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lūdzam protokollēmumā uzdot uzdevumu Finanšu ministrijai apkopot plānoto būvniecības līgumu cenu indeksācijas fiskālo ietekmi 2023. gadā un būvmateriālu izmaksu, kas saistītas ar Krievijas militāro agresiju Ukrainā grozījumu veikšanai spēkā esošajos publiskajos būvdarbu līgumos attiecībā uz ēku būvniecību, pieauguma fiskālo ietekmi uz 2022. gada finansējumu publiskiem būvniecības līgumiem, pēc sekojošiem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Grozīto līgumu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sadārdzinājums procentuālā izteiksmē pret būvniecības līguma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būvniecības izmaksu sadārdzinājums grozītajos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ka Vadlīniju izstrādes temps būtu saistāms ar informācijas trūkumu par Krievijas militārās agresijas Ukrainā izraisīto būvizstrādājumu sadārdzinājuma fiskālo ietekmi uz publiskās infrastruktūras projektiem. Vadlīniju izstrādē tika risināti apjomīgi juridiskās dabas jautājumi, tai skaitā par tiesībām veikt būtiskus grozījumus iepriekš noslēgtajos publiskos būvdarbu līgumos, kuros nav ietverti līgumcenas indeksācijas noteikumi un šādu grozījumu veikšanas kārtību. Tiesības veikt būtiskus grozījumus iepriekšnoslēgtajos publiskajos būvdarbu līgumos ir jāvērtē atbilstoši regulējumam  publisko iepirkumu jomā, kas nosaka apstākļus, pie kādiem būtiskie grozījumi ir pieļaujami, kā arī satur citus grozījumu veikšanas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tiesības veikt grozījumus iepriekš noslēgtajos būvdarbu līgumos nav tiešā veidā saistītas ar sadārdzinājuma apmēru konkrētā līguma ietvaros, vēl jo mazāk ar sadārdzinājuma kopējo fiskālo ietekmi. Informatīvajā ziņojumā Par situāciju būvniecības nozarē saistībā ar Krievijas agresiju Ukrainā un nepieciešamajiem risinājumiem publisko investīciju projektos (apstiprināts Ministru kabineta 2022.gada 5.aprīļa sēdē) ir uzsvērta pasūtītāja loma publisko būvdarbu līgumu vadībā un tā tiesības sākotnēji lemt par nepieciešamajiem grozījumiem publiskajā būvdarbu līgumā, lai nodrošinātu iesākto publiskās infrastruktūras projektu sekmīgu pabeigšanu. Lemjot par būtisko grozījumu nepieciešamību un pieļaujamību, pasūtītājam būtu jāmeklē optimāls risinājuma variants, t.i. lemt par sadārdzinājuma daļējo vai pilnu kompensāciju, atteikšanos no uzsākta projekta vai projekta īstenošanas apturēšanu un atlikšanu. Tāpat pasūtītājam būtu jānovērtē projekta sadārdzināto izmaksu samērīgums un projekta turpināšanas lietderība, kā arī tā spējas segt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savukārt, ir izstrādātas pamatojoties uz informatīvajā ziņojumā konstatētām problēmām, tās apkopo labās prakses piemērus sadārdzinājuma objektīvai novērtēšanai. Jāatzīst, ka šādas informācijas sagatavošana prasīs lielus resursus, proti, būtu manuāli jānošķir grozījumu publiskajos būvdarbu līgumos, kas ir saistīti tieši ar Krievijas militārās agresijas Ukrainā izraisīto ietekmi, jānovērtē līguma izpildes apstākļi (kādā stadijā ir līguma izpilde (būvdarbi)), grozījumu tvērums (ar fiskālo ietekmi vai bez fiskālās ietekmes (piemēram, termiņu pagarināšana)), fiskālā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neredz lietderību uzdot Finanšu ministrijai apkopot informāciju par visiem publiskās infrastruktūras projektiem, jo nav skaidrs kādā veidā šāda apkopota informācija būtu turpmāk izmantojama. Tā var dot priekšstatu par papildu finanšu resursu ieguldījumu publiskajos infrastruktūras projektos, taču tas neļaus izdarīt pamatotus secinājumus par iespējamiem riskiem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publiskos būvdarbu līgumus slēdz un publiskās infrastruktūras projektus īsteno valsts institūcijas, valsts kapitālsabiedrības, pašvaldību institūcijas, pašvaldību kapitālsabiedrības. Ministru kabinetam nav tiesību iejaukties pašvaldības un pašvaldības kapitālsabiedrību darbībā attiecībā uz to īpašuma pārvaldīšanu un teritorijas attīstību, tāpat Ministru kabinetam ir ierobežotas tiesības iejaukties valsts kapitālsabiedrību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situācijas attīstību saistībā ar izejvielu un būvizstrādājumu pieejamību un straujo cenu kāpumu Latvijas būvniecības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2.punktā, raksturojot vispārīgo situāciju Latvijas būvniecības nozarē un publisko infrastruktūras projektu īstenošanas progresu, 2.3.apakšpunktā “Uzņēmumu finansiālā situācija Latvijas būvniecības nozarē un tās ietekme uz publisko būvdarbu īstenošanas gaitu”, 8.lpp. norādīts:</w:t>
            </w:r>
            <w:r w:rsidR="00000000" w:rsidRPr="00000000" w:rsidDel="00000000">
              <w:rPr>
                <w:i w:val="1"/>
                <w:rtl w:val="0"/>
              </w:rPr>
              <w:t xml:space="preserve"> “Pastāv būtisks risks, ka jaunajos publiskajos iepirkumos būvniecības uzņēmumi nevarēs nodrošināt agrākos periodos definētās un prasītās banku un apdrošināšanas polišu būvdarbu līgumu izpildes un laika garantijas, kā rezultātā jaunajos publiskajos iepirkumos būs mazāka konkurence un turpināsies cenu 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pamatojums šāda secinājuma ietveršanai Informatīvajā ziņojumā bez papildu izvērtējuma, vai un kā situācija ir ietekmējusi būvnieka maksātspēju vai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skaidrojums attiecība uz mineto secinājumu, kā arī citiem secinājumiem, kas attiecās uz būvkomersantu maksātspēju izriet no informatīvā ziņojuma 2.nodaļas, kurā ir vērtēts būvdarbu sadārdzinājums, kas tiešā veidā ir sasaistīts ar Krievijas uzsākto karadarbību Ukrainā un būvkomersantu peļas rādītājiem iepriekšējos gados. Kopumā būvkomersantu peļņas rādītāji iepriekšējos gados nav bijuši tik lieli, lai būvkopmersanti paši varētu kompensēt būvniecības sadārdzinājumu, kas radies dēļ Krievijas uzsāktās karadarbības Ukrainā, līdz ar to samazinās arī būvkomersantu spēja nodrošināt citas saistītās izmaksas jaunos līgumos, kā piemēram būvdarbu līgumu izpildes un laika garantijas.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22-TA-1590</w:t>
    </w:r>
    <w:r>
      <w:br/>
    </w:r>
    <w:r w:rsidR="00000000" w:rsidRPr="00000000" w:rsidDel="00000000">
      <w:rPr>
        <w:rtl w:val="0"/>
      </w:rPr>
      <w:t xml:space="preserve">27.10.2022. 15.35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22-TA-1590</w:t>
    </w:r>
    <w:r>
      <w:br/>
    </w:r>
    <w:r w:rsidR="00000000" w:rsidRPr="00000000" w:rsidDel="00000000">
      <w:rPr>
        <w:rtl w:val="0"/>
      </w:rPr>
      <w:t xml:space="preserve">27.10.2022. 15.35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Izziņa_22-TA-1590.docx</dc:title>
</cp:coreProperties>
</file>

<file path=docProps/custom.xml><?xml version="1.0" encoding="utf-8"?>
<Properties xmlns="http://schemas.openxmlformats.org/officeDocument/2006/custom-properties" xmlns:vt="http://schemas.openxmlformats.org/officeDocument/2006/docPropsVTypes"/>
</file>