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24. jūlija noteikumos Nr. 518 "Augu šķirnes saimniecisko īpašību novērtēšanas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 punktu aizpilda, ja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4.1. apakšpunktā norādītā tiesību akta projekta saistību ar projektu, norādot, kā projekti ir savā starpā saistīti un kā šī projekta grozījumi ietekmē anotācijas 4.1. apakšpunktā norādīto Ministru kabineta noteikumu saturu. Konstatējot saistību, lūdzam to norādīt pamatojuma aprakstā. Šobrīd ietverta norāde vienkārši uz nepieciešamību pārņemt Eiropas Savienības normatīvo aktu (direktīvu).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Sasaiste izslēgta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šķietami nepieciešams labot anotācijas 5.4. apakšpunkta 1. tabulas "Komisijas 2022. gada 23. septembra Īstenošanas direktīva (ES) 2022/1647, ar ko Direktīvu 2003/90/EK groza attiecībā uz atkāpi, kura piemērojama bioloģiskajai ražošanai piemērotu lauksaimniecības augu bioloģiskajām šķirnēm" sadaļas "B" ailes: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rindā "ES direktīvas 2022/1647 2. panta 1. punkta pirmā un otrā rindkopa" norādot, ka attiecīgā Eiropas Savienības tiesību norma tiek pārņemta noteikumu projekta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rindā "ES direktīvas 2022/1647 2. panta 1. punkta trešā rindkopa" norādot, ka attiecīgā Eiropas Savienības tiesību norma tiek pārņemta noteikumu projekta 1.26.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rindā "ES direktīvas 2022/1647 2. panta 2. punkts" precizējot nepārņemšanas formulējumu, jo Komisijas 2022. gada 23. septembra Īstenošanas direktīvas (ES) 2022/1647, ar ko Direktīvu 2003/90/EK groza attiecībā uz atkāpi, kura piemērojama bioloģiskajai ražošanai piemērotu lauksaimniecības augu bioloģiskajām šķirnēm (turpmāk - direktīva 2022/1647) 2. panta 2. punkts nesatur termiņu normatīvo aktu pieņemšanai un publicēšanai.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anotācijas 5.4. apakšpunkta 1. tabulas atbilstošās rindas.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pieteikto saīsinājumu "ES direktīva 2022/1647" un paralēli lietoto saīsinājumu "Direktīvas 2022/1647", saīsinājumiem "ES direktīva", "ES direktīvas 2022/1648", "direktīva", "direktīva 2003/90/EK", "dienests", "ministrija", "universitāte", "LBTU", terminu "Eiropas Komisija" un nepieteikto saīsinājumu "Komisija". Tāpat iesakām konsekventi lietot vienotus formulējumu, minētais attiecas, piemēram, uz "Zemnieku Saeima" un "Biedrība Zemnieku saeima" kā arī uz "Latvijas Lauksaimniecības universitāte (LLU)" un "Latvijas Lauksaimniecības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1.1. apakšpunkta teikuma: "Ministru kabineta 2012. gada 24. jūlija noteikumos Nr. 518 "Augu šķirnes saimniecisko īpašību novērtēšanas noteikumi" (turpmāk – noteikumi Nr. 518) ir jāiekļauj labības slimību izturības noteikšana rudziem, kviešiem, miežiem, auzām un tritikālei salīdzinājumā ar standartšķirni, tostarp metodika un rādītāji, kā arī novērtējums deviņu ballu sistēmā." formulējumu. Norādām, ka no konkrētā formulējuma saprotams, ka uzskaitītās nianses vēl nav iekļautas noteikumos Nr.518 un tikai ar šo projektu tiks tajos iekļautas. Tālākajā anotācijas tekstā norādīts, ka tie ir tikai papildinājumi. Līdzīgi norādīts arī anotācijas 1.2.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no abiem apakšpunktiem izriet, ka grozījumi tiek veikti pamatojoties uz direktīvu 2022/1647 no kuras neizriet, piemēram, nosacījumi attiecībā uz tritikāli vai auzām.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izriet, ka pamatojums daļai grozījumu ir Eiropas Parlamenta un Padomes 2018. gada 30. maija Regulas (ES) 2018/848 par bioloģisko ražošanu un bioloģisko produktu marķēšanu un ar ko atceļ Padomes Regulu (EK) Nr. 834/2007, kas netiek norādīta pie pamatojuma. Attiecīgi iesakām pārskatīt konkrētos apakšpunktus un izvērtēt nepieciešamību precizēt tos, nolūkā pilnvērtīgi atspoguļot plānoto grozījumu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anotācijas 1.1. un 1.2.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"Pašreizējā situācija, problēmas un risinājumi" norāda būtiskāko informāciju par problēmas analīzi. Laukā “Pašreizējā situācija” apraksta šī brīža situāciju, laukā “Problēma” apraksta problēmu, savukārt laukā “Risinājums“ ieraksta attiecīgās problēmas risinājumu, kas paredzēts projektā. Ja tiek identificētas vairākas problēmas, tad katru ievada atsevišķajā laukā.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1.3. apakšpunkta pašreizējās situācijas skaidrojumā, šķietami, sniegta nepilnīga informācija, piemēram, nav pilnībā skaidra situācija attiecībā uz vienas no ziemas un vasaras rapšu saimniecisko īpašību novērtēšanas izmēģinājumu vietas aizstāšanu. Tāpat iesakām papildināt "Nepieciešams precizēt šķirnes novērtēšanas iesniegumā ietveramo informāciju, t.i., ka novērtēšanai var pieteikt arī bioloģisku šķirni." problēmas aprakstu, konkrētāk skaidrojot problēmu un uzsverot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anotācijās 1.3. apakšpunktā nav atspoguļoti projekta 1.23., 1.24., 1.26.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nolūkā pilnībā atspoguļot projektu un sniegt pilnvērtīgu, skaidru un nepārprotamu tā skaidrojumu iesakām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apakšpunkta problēmas aprakstu par tehniskajiem precizējumiem saistībā ar nosaukuma Latvijas Lauksaimniecības universitāte aizstāšanu ar nosaukumu Latvijas Biozinātņu un tehnoloģiju universitāte, un tieši attiecībā uz noteikumu Nr. 518 54. punktu, kas nav iekļauts projektā un norādīts anotācijā. Attiecīgi, netiek paredzēti tehniskie grozījumi konkrētajā punktā. Lūdzam veikt nepieciešamos papildinājumus vai sniegt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apakšpunkta pašreizējās situācijas apraksta daļu par Latvijas Lauksaimniecības Universitātes nosaukuma maiņu iesakām papildināt ar atsauci uz Latvijas Lauksaimniecības universitātes Padomes 30.08.2022. lēmumu Nr. 6, Latvijas Lauksaimniecības universitātes Konventa 31.08.2022. lēmumu Nr. 11-5 un Latvijas Biozinātņu un tehnoloģiju universitātes Satversmi, kas pamato Latvijas Lauksaimniecības universitātes nosaukumu maiņu no 2022. gada 1. septembra.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sadaļas 2.2.3. apakšpunktā norāda uz ietekmi uz uzņēmējdarbības vidi, izvēloties opciju “Jā” ietekmes apraksta sadaļā skaidro ietekmi, pamatojoties uz veikto ietekmes izvērtējumu uz visām komersantu grupām, īpašu uzmanību pievēršot līdz šim mazāk aizsargātajai, bet skaitliski lielākajai komersantu grupai – mikrouzņēmumiem, mazajiem, vidējiem uzņēmumiem un jaunuzņēmumiem (turpmāk visi kopā – MVU), veicot t. s. MVU testu. Iesakām pārskatīt norādīto ietekmes aprakstu un sniegt konkrētāku ietekmes aprakstu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2.2.3.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apakšpunkta 1. tabulas "Komisijas 2022. gada 23. septembra Īstenošanas direktīva (ES) 2022/1647, ar ko Direktīvu 2003/90/EK groza attiecībā uz atkāpi, kura piemērojama bioloģiskajai ražošanai piemērotu lauksaimniecības augu bioloģiskajām šķirnēm" sadaļas "ES direktīvas 2022/1647 1. panta 2. punkts un pielikums (grozītās Direktīvas 2003/90/EK V pielikums)" rindas "B" aili, korekti atspoguļojot grozījumiem pakļautās noteikumu Nr. 518 vienības: 23.</w:t>
            </w:r>
            <w:r w:rsidR="00000000" w:rsidRPr="00000000" w:rsidDel="00000000">
              <w:rPr>
                <w:vertAlign w:val="superscript"/>
                <w:rtl w:val="0"/>
              </w:rPr>
              <w:t xml:space="preserve">1</w:t>
            </w:r>
            <w:r w:rsidR="00000000" w:rsidRPr="00000000" w:rsidDel="00000000">
              <w:rPr>
                <w:rtl w:val="0"/>
              </w:rPr>
              <w:t xml:space="preserve">., 23.</w:t>
            </w:r>
            <w:r w:rsidR="00000000" w:rsidRPr="00000000" w:rsidDel="00000000">
              <w:rPr>
                <w:vertAlign w:val="superscript"/>
                <w:rtl w:val="0"/>
              </w:rPr>
              <w:t xml:space="preserve">2</w:t>
            </w:r>
            <w:r w:rsidR="00000000" w:rsidRPr="00000000" w:rsidDel="00000000">
              <w:rPr>
                <w:rtl w:val="0"/>
              </w:rPr>
              <w:t xml:space="preserve">., 23.</w:t>
            </w:r>
            <w:r w:rsidR="00000000" w:rsidRPr="00000000" w:rsidDel="00000000">
              <w:rPr>
                <w:vertAlign w:val="superscript"/>
                <w:rtl w:val="0"/>
              </w:rPr>
              <w:t xml:space="preserve">3</w:t>
            </w:r>
            <w:r w:rsidR="00000000" w:rsidRPr="00000000" w:rsidDel="00000000">
              <w:rPr>
                <w:rtl w:val="0"/>
              </w:rPr>
              <w:t xml:space="preserve">., 33., 42. punkts un 1., 2. 7.</w:t>
            </w:r>
            <w:r w:rsidR="00000000" w:rsidRPr="00000000" w:rsidDel="00000000">
              <w:rPr>
                <w:vertAlign w:val="superscript"/>
                <w:rtl w:val="0"/>
              </w:rPr>
              <w:t xml:space="preserve">8</w:t>
            </w:r>
            <w:r w:rsidR="00000000" w:rsidRPr="00000000" w:rsidDel="00000000">
              <w:rPr>
                <w:rtl w:val="0"/>
              </w:rPr>
              <w:t xml:space="preserve"> un  8.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apakšpunkta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518 anotācijai ar to </w:t>
            </w:r>
            <w:r w:rsidR="00000000" w:rsidRPr="00000000" w:rsidDel="00000000">
              <w:rPr>
                <w:rtl w:val="0"/>
              </w:rPr>
              <w:t xml:space="preserve">1. pielikumu ir ieviests Komisijas 2003.gada 6.oktobra Direktīvas 2003/90/EK, ar ko nosaka īstenošanas pasākumus Padomes Direktīvas 2002/53/EK 7.pantā attiecībā uz obligāti pārbaudāmajām pazīmēm un obligātajiem konkrētu lauksaimniecības augu sugu pārbaudes nosacījumiem III pielikums.  Attiecīgi lūdzam pārskatīt grozījumiem pakļautos noteikumu Nr.518. pantus, pielikumus un izvērtēt, vai uz tiem attiecināmie, šī projekta anotācijā nenorādītie (iepriekš pārņemtie/ieviestie), Eiropas Savienības tiesību akti joprojām ir attiecināmi uz noteikumu Nr. 518 normām un, tādā gadījumā, iesakām papildināt anotācijas 5.4. apakšpunktu ar papildus norādi uz to, ka 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apakšpunkta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23-TA-1012</w:t>
    </w:r>
    <w:r>
      <w:br/>
    </w:r>
    <w:r w:rsidR="00000000" w:rsidRPr="00000000" w:rsidDel="00000000">
      <w:rPr>
        <w:rtl w:val="0"/>
      </w:rPr>
      <w:t xml:space="preserve">13.06.2023. 09.56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23-TA-1012</w:t>
    </w:r>
    <w:r>
      <w:br/>
    </w:r>
    <w:r w:rsidR="00000000" w:rsidRPr="00000000" w:rsidDel="00000000">
      <w:rPr>
        <w:rtl w:val="0"/>
      </w:rPr>
      <w:t xml:space="preserve">13.06.2023. 09.56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Izziņa_23-TA-1012.docx</dc:title>
</cp:coreProperties>
</file>

<file path=docProps/custom.xml><?xml version="1.0" encoding="utf-8"?>
<Properties xmlns="http://schemas.openxmlformats.org/officeDocument/2006/custom-properties" xmlns:vt="http://schemas.openxmlformats.org/officeDocument/2006/docPropsVTypes"/>
</file>