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1.3.sadaļas “Pašreizējā situācija, problēmas un risinājumi apakšsadaļā” norādīto grozījumu Ministra kabineta noteikumos Nr. 462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21. janvārī tika apstiprināti grozījumi šajos noteikumos, pamatojoties uz Ministru kabineta 2024. gada 21. maija protokollēmumā Nr. 21 37. §, 24-TA-1132 3. punktā noteikto un uz augstāk minēto informāciju, Veselības ministrija informē - ņemot vērā apstākļus, ka B ēkas projekta īstenošanai pieejamais finansējums ir būtiski samazinājies un minētā finansējuma ietvaros nav iespējams īstenot funkcionējošu B ēkas daļu, Veselības ministrija rosina novirzīt plānotā B korpusa finansējumu 83 293 509 euro  apmērā 4.1.1.1. pasākuma 6. kārtai - abu klīnisko universitāšu slimnīcu infrastruktūras projektu attīstībai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datumu, kurā tika izskatīti un apstiprināti grozījumi Ministru kabineta 2021. gada 16. novembra rīkojumā Nr. 841 "Par Eiropas Savienības kohēzijas politikas programmu 2021.-2027. gadam, precizējot to uz 2025.gada 27.maiju.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2025. gada 17. jūnijā Ministru kabinetā izskatīto informatīvo ziņojumu "Par VSIA "Paula Stradiņa klīniskā universitātes slimnīca" un SIA "Rīgas Austrumu klīniskā universitātes slimnīca" stratēģisko projektu īstenošanas statusu" (MK 17.06.2025. sēdes protokols Nr. 24, 34. §, 2.punkts) Veselības ministrijai atļauts noslēgt līgumu par A2 projekta realizācijai piekritīgās un funkcionāli nepieciešamās nekustamā īpašuma daļas (nekustamā īpašuma kadastra Nr. 0100 056 0115) ar aptuveno platību 18 300 m² - Pilsoņu ielā 13, Rīgā, kas reģistrēta zemesgrāmatā uz valsts vārda Veselības ministrijas personā, nodošanu VAS “Valsts nekustamie īpašumi” pārvaldībā, lūdzam ar attiecīgo informāciju papildināt arī anotācijas sadaļu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  2025. gada 17. jūnijā Ministru kabinets pieņēma zināšanai informatīvo ziņojumu "Par valsts nekustamā īpašuma daļas nodošanu VAS "Valsts nekustamie īpašumi" pārvaldībā" (25-TA-1356) (MK 17.06.2025. sēdes protokols Nr. 24 57. §) un atbalstīja atļaut Veselības ministrijai noslēgt līgumu par A2 projekta īstenošanai piekritīgās un funkcionāli nepieciešamās nekustamā īpašuma daļas (nekustamā īpašuma kadastra Nr. 0100 056 0115) ar aptuveno platību 18 300 m²  Pilsoņu ielā 13, Rīgā, kas reģistrēta zemesgrāmatā uz valsts vārda Veselības ministrijas personā, nodošanu VAS "Valsts nekustamie īpašumi"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SIA “Rīgas Austrumu klīniskā universitātes slimnīca” Infekciju slimību un plaušu veselības korpusa jaunā būvniecības projektam kopējo nepieciešamo finansējumu un plānotos finansējuma avotus, t.sk. norādot, kā plānots nodrošināt demarkāciju starp plānotajiem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papildināt anotāciju ar pienākumu FS-am pie grozījumu iesniegšanas veikt proporcijas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anotāciju papildināt ar informāciju par PSKUS 6.kārtas finansējuma 15 000 000 EUR apmērā pārvirzīšanu uz PSKUS 5. kārtas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finansējuma palielinājumu 4.1.1.1. pasākuma 1. kārtai un 5. kārtai, lūdzam papildināt noteikumu projekta anotāciju ar informāciju par 4.1.1.1. pasākuma 1. un 5. kārtas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ar MK sēdes protokollēmumu ir citstarp noteikts uzdevums Veselības ministrijai sadarbībā ar Centrālo finanšu un līgumu aģentūru nodrošināt līgumu slēgšanu par projektu īstenošanu ar finansējuma saņēmējiem, taču MK sēdes protokollēmuma projekta 4. punktā ir norādīts uzdevums Veselības ministrijai sadarbībā ar Centrālo finanšu un līgumu aģentūru nodrošināt grozījumu veikšanu projektos par projektu īstenošanu ar finansējuma saņēmējiem. Attiecīgi lūdzam anotācijā korekti norādīt ar MK sēdes protokollēmumu uzdoto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 nodrošināt grozījumu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kā izstrādātie grozījumi ietekmē finansējuma saņēmēju un vai līgumā vai vienošanās par projekta īstenošanu ir nepieciešams veikt grozījumus, vienlaikus, ja attiecināms, norādot vai minētie grozījumi ir būtiski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izpildes datiem sadalījumā pa gadiem, kā arī norādot plānoto finansējumu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2., 3., 5. punktu un attiecīgi 1.1., 2.1., 3.1., 5.1. apakšpunktus, jo nav saprotami tajā norādītie apmēri. Vēršam uzmanību, ka anotācijas 3.sadaļas 1. – 5. punktā  norādāma ietekme attiecībā pret likumā “Par valsts budžetu 2025. gadam un budžeta ietvaru 2025., 2026. un 2027. gadam” plānoto izdevumu apmēru. Attiecīgi papildināms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priekšlikumu MK noteikumu 50.2.2.punktā mainīt horizontālā principa rādītāju un dzēst pievienoto hipersaiti (kura var mainīties pēc Labklājības ministrijas tīmekļa vietnes rekonstrukcijas),  aicinām papildināt 8.2. sadaļu ar informāciju, kur arī turpmāk būs atrodama informācija par vides un informācijas piekļūstamības pašnovērtējumu.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MK noteikumu 50.2.2. punktā minēto vides un informācijas piekļūstamības pašnovērtējumu, tostarp pašnovērtējuma anketa un video pamācība anketas aizpildīšanai,  atrodama Labklājības ministrijas tīmekļa vietnē https://www.lm.gov.lv/lv/horizontalais-princips-vienlidziba-ieklausana-nediskriminacija-un-pamattiesibu-ieverosana.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punktu, kas atceļ Ministru kabineta 21.01.2025. sēdes protokola Nr. 3 20.§ 1.20.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3., 4. un 5.punktā noteikto, ņemot vēra, ka vairs netiek plānota 4.1.1.1.pasākuma 6.kārta.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Ppaildināts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sadarbībā ar Centrālo finanšu un līgumu aģentūru nodrošināt grozījumu veikšanu projektos par projektu īstenošanu ar finansējuma saņēmējiem, pirms ir saņemts pozitīvs Eiropas Komisijas lēmums grozījumiem Eiropas Savienības kohēzijas politikas programmā 2021.–2027. gadam, t.sk. par elastības finansējuma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Ministru kabineta sēdes protokollēmuma projekta 4. un 5.punktā noteikto un sniegt objektīvu pamatojumu elastības finansējuma izmantošanai pirms Eiropas Komisijas lēmuma par programmas grozījumiem atbilstoši Ministru kabineta 2025.gada 27.maija sēdes protokola Nr. 21 42.§ 3.1.punkta “Rīkojuma projekts "Grozījumi Ministru kabineta 2021. gada 16. novembra rīkojumā Nr. 841 "Par Eiropas Savienības kohēzijas politikas programmu 2021.–2027. gadam""12. punktā noteiktajam. Vienlaikus sniedzot pamatojumu, lūdzam ņemt vērā Eiropas Savienības fondu tematiskās komitejas 2025. gada 29. maija sēdē doto uzdevumu Veselības ministrijai sadarbībā ar Valsts nekustamie īpašumi turpināt vērtēt iespējas samazināt VSIA "Paula Stradiņa klīniskā universitātes slimnīca" projekta Nr. 9.3.2.0/17/I/013 Slimnīcas A 2 korpusa attīstība 2. posma projekta izmaksas,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sadarbībā ar Centrālo finanšu un līgumu aģentūru nodrošināt grozījumu veikšanu projektos par projektu īstenošanu ar finansējuma saņēmējiem, pirms ir saņemts pozitīvs Eiropas Komisijas lēmums grozījumiem Eiropas Savienības kohēzijas politikas programmā 2021.–2027. gadam, t.sk. par elastības finansējuma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Ministru kabineta sēdes protokollēmuma projektu un noteikumu 1.1.apakšpunktu, svītrojot atsauci uz 4.1.1.1. pasākuma 6. kārtu, ņemot vērā, ka 4.1.1.1. pasākuma 6. kārta netiks īstenota.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svītrojot atsauci uz 4.1.1.1. pasākuma 6. kārtu, ņemot vērā, ka 4.1.1.1. pasākuma 6. kārta netiks īstenota.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4.1.1.1. pasākuma pirmās un sestās kārtas finansējuma saņēmējiem, izņemot šo noteikumu </w:t>
            </w:r>
            <w:r w:rsidR="00000000" w:rsidRPr="00000000" w:rsidDel="00000000">
              <w:rPr>
                <w:rtl w:val="0"/>
              </w:rPr>
              <w:t xml:space="preserve">23.</w:t>
            </w:r>
            <w:r w:rsidR="00000000" w:rsidRPr="00000000" w:rsidDel="00000000">
              <w:rPr>
                <w:rtl w:val="0"/>
              </w:rPr>
              <w:t xml:space="preserve"> punktā minēto gadījumu, komercdarbības atbalstu piešķir atbilstoši šīs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IV. sadaļā "Komercdarbības atbalsta piešķiršanas nosacījumi" ietvertās prasības attiecas uz tiem atbalsta saņēmējiem, kas paredzēti 4.1.1.1. pasākuma pirmajā un piektajā kārtā, un, ņemot vērā to, ka ar šo noteikumu projektu sestā kārta tiek svītrota no Ministru kabineta noteikumiem Nr. 462, lūdzam precizēt noteikumu projekta 15. punktu, sestās kārtas vietā norādot piekto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4.1.1.1. pasākuma pirmās un piektās kārtas finansējuma saņēmējiem, izņemot šo noteikumu </w:t>
            </w:r>
            <w:r w:rsidR="00000000" w:rsidRPr="00000000" w:rsidDel="00000000">
              <w:rPr>
                <w:rtl w:val="0"/>
              </w:rPr>
              <w:t xml:space="preserve">23.</w:t>
            </w:r>
            <w:r w:rsidR="00000000" w:rsidRPr="00000000" w:rsidDel="00000000">
              <w:rPr>
                <w:rtl w:val="0"/>
              </w:rPr>
              <w:t xml:space="preserve"> punktā minēto gadījumu, komercdarbības atbalstu piešķir atbilstoši šīs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4</w:t>
            </w:r>
            <w:r w:rsidR="00000000" w:rsidRPr="00000000" w:rsidDel="00000000">
              <w:rPr>
                <w:rtl w:val="0"/>
              </w:rPr>
              <w:t xml:space="preserve"> Sadarbības partneris iesaistās projekta īstenošanā ar saviem resursiem, tai skaitā ar tā īpašumā, valdījumā, turējumā vai lietojumā esošo nekustamo īpašumu un tiesību prasība ir nostiprināta zemesgrāmatā, kā arī nodrošina pārskatu un citas informācijas iesniegšanu atbilstoši sadarbības līgumā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punktā sadarbības partnerim noteiktais pienākums nodrošināt tā īpašumā, valdījumā, turējumā vai lietojumā esošo nekustamo īpašumu un tiesību prasības nostiprināšana zemesgrāmatā </w:t>
            </w:r>
            <w:r w:rsidR="00000000" w:rsidRPr="00000000" w:rsidDel="00000000">
              <w:rPr>
                <w:u w:val="single"/>
                <w:rtl w:val="0"/>
              </w:rPr>
              <w:t xml:space="preserve">neattiecas uz VAS "Valsts nekustamie īpašumi"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minēto punktu, paredzot izņēmuma gadījumu attiecībā uz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4</w:t>
            </w:r>
            <w:r w:rsidR="00000000" w:rsidRPr="00000000" w:rsidDel="00000000">
              <w:rPr>
                <w:rtl w:val="0"/>
              </w:rPr>
              <w:t xml:space="preserve"> Sadarbības partneris, izņemot šo noteikumu 29.</w:t>
            </w:r>
            <w:r w:rsidR="00000000" w:rsidRPr="00000000" w:rsidDel="00000000">
              <w:rPr>
                <w:vertAlign w:val="superscript"/>
                <w:rtl w:val="0"/>
              </w:rPr>
              <w:t xml:space="preserve">1</w:t>
            </w:r>
            <w:r w:rsidR="00000000" w:rsidRPr="00000000" w:rsidDel="00000000">
              <w:rPr>
                <w:rtl w:val="0"/>
              </w:rPr>
              <w:t xml:space="preserve"> noteiktais sadarbības partneris, iesaistās projekta īstenošanā ar saviem resursiem, tai skaitā ar tā īpašumā, valdījumā, turējumā vai lietojumā esošo nekustamo īpašumu un tiesību prasība ir nostiprināta zemesgrāmatā, kā arī nodrošina pārskatu un citas informācijas iesniegšanu atbilstoši sadarbības līgumā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kopā ar sadarbības partneri (ja attiecināms)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 atbilstoši Eiropas Parlamenta un Padomes 2024. gada 23. septembra Regulai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12. punktā izteiktajā noteikumu 30. punktā ietvertās prasības parakstīt apliecinājumu par interešu konflikta neesamību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kopā ar sadarbības partneri (ja attiecināms) sagatavo projekta iesniegumu atbilstoši projektu iesniegumu atlases nolikumā noteiktajām prasībām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kopā ar sadarbības partneri (ja attiecināms) sagatavo projekta iesniegumu atbilstoši projektu iesniegumu atlases nolikumā noteiktajām prasībām un iesniedz to sadarbības iestādē, izmantojot Kohēzijas politikas fondu vadības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ar "sadarbības partnera projekta vadības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izrunāts ar CFLA un tika panākta vienošanās, ka projektu ierobežotu finansējumu dēļ, sadarbības partneru projekta vadības izmaksas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 administratīvā sloga viedokļa, vai noteikumu projekta 34. punktā minētie personāla izmaksu ierobežojumi ir nepieciešami un samērīgi, ņemot vērā aktuālo attiecināmo izmaksu vadlīniju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redakcijas versiju, kas apstiprināta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šobrīd nesaskata nepieciešamību mainīt nosacījumus, papildu vēršam uzmanību, ka pie nākošajiem grozījumiem, tiks padziļinātāk izvērtēts šis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50.1. apakšpunktā ietverta atsauce uz vadlīnijām, kas nav normatīvi saistoši tiesību akti. Atbilstoši juridiskās tehnikas prasībām un Ministru kabineta 2009. gada 3. februāra noteikumu Nr. 108 “Normatīvo aktu projektu sagatavošanas noteikumi” 3.7. apakšpunktam normatīvā akta tiesību normās nav pieļaujams iekļaut atsauces uz nesaistošiem dokumentiem. Ņemot vērā minēto, lūdzam noteikumu projekta 50.1. apakšpunktā svītrot atsauci uz vadlīnijām un attiecīgo informāciju, ja nepieciešams, ietvert skaidrojoši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50.2.2. veiktā vides un informācijas piekļūstamības pašnovērtējuma rezultāts atbilstoši Labklājības ministrijas izstrādātajai metodikai un pašnovērtējumā iegūtais punktu skaits, aizpildot vides pieejamības pašnovērtējuma anketu (</w:t>
            </w:r>
            <w:r w:rsidR="00000000" w:rsidRPr="00000000" w:rsidDel="00000000">
              <w:rPr>
                <w:rtl w:val="0"/>
              </w:rPr>
              <w:t xml:space="preserve">https://www.lm.gov.lv/lv/vides-un-informacijas-pieklustamibas-pasnovertejums-saskana-ar-lbn-200-21</w:t>
            </w:r>
            <w:r w:rsidR="00000000" w:rsidRPr="00000000" w:rsidDel="00000000">
              <w:rPr>
                <w:rtl w:val="0"/>
              </w:rPr>
              <w:t xml:space="preserve">).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rādītāja redakciju atbilstoši aktualizētajam (26.02.2025.) horizontālā principa "Vienlīdzība, iekļaušana, nediskriminācija un pamattiesību ievērošana" vadlīniju 4.pielikumam (https://www.lm.gov.lv/lv/vadlinijas-horizontala-principa-vienlidziba-ieklausana-nediskriminacija-un-pamattiesibu-ieverosana-istenosanai-un-uzraudzibai-2021-2027). Paskaidrojam, ka KP VIS abi HP rādītāji (vecā un jaunā versija) ir saistīti un neradīs sarežģījumus rādītāja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Labklājības ministrijas tīmekļa vietnē tiek veikti tehniski un saturiski uzlabojumi, tāpēc pastāv iespēja, ka drīzumā 50.2.2. punktā minētā hipersaite</w:t>
            </w:r>
            <w:r w:rsidR="00000000" w:rsidRPr="00000000" w:rsidDel="00000000">
              <w:rPr>
                <w:i w:val="1"/>
                <w:rtl w:val="0"/>
              </w:rPr>
              <w:t xml:space="preserve"> </w:t>
            </w:r>
            <w:r w:rsidR="00000000" w:rsidRPr="00000000" w:rsidDel="00000000">
              <w:rPr>
                <w:rtl w:val="0"/>
              </w:rPr>
              <w:t xml:space="preserve">var nebūt aktuāla. Informācija par vides un informācijas pašnovērtējumu joprojām būs atrodama ministrijas tīmekļa vietnē  https://www.lm.gov.lv/lv/horizontalais-princips-vienlidziba-ieklausana-nediskriminacija-un-pamattiesibu-ieverosana.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50.2.2. Veikto vides un informācijas piekļūstamības pašnovērtējumu skaits.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50.2.2. veikto vides un informācijas piekļūstamības pašnovērtējumu skaits. Finansējuma saņēmējam ir pienākums sniegt minēto informāciju, iesniedzot pēdējo maksājuma pieprasījumu par visu projekta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atbilstoši Regulas Nr. </w:t>
            </w:r>
            <w:r w:rsidR="00000000" w:rsidRPr="00000000" w:rsidDel="00000000">
              <w:rPr>
                <w:rtl w:val="0"/>
              </w:rPr>
              <w:t xml:space="preserve">2021/1060</w:t>
            </w:r>
            <w:r w:rsidR="00000000" w:rsidRPr="00000000" w:rsidDel="00000000">
              <w:rPr>
                <w:rtl w:val="0"/>
              </w:rPr>
              <w:t xml:space="preserve"> 9. panta 4. punktam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kuru groza Regulu (ES) </w:t>
            </w:r>
            <w:r w:rsidR="00000000" w:rsidRPr="00000000" w:rsidDel="00000000">
              <w:rPr>
                <w:rtl w:val="0"/>
              </w:rPr>
              <w:t xml:space="preserve">2019/2088</w:t>
            </w:r>
            <w:r w:rsidR="00000000" w:rsidRPr="00000000" w:rsidDel="00000000">
              <w:rPr>
                <w:rtl w:val="0"/>
              </w:rPr>
              <w:t xml:space="preserve">, 17. pantam nodrošina, ka tiek ievēroti šādi principa "Nenodarīt būtisku kaitējumu" vides mērķi (šis nosacījums neattiecas uz 4.1.1.1. pasākuma piektās kārtas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prasība "Nenodarīt būtisku kaitējumu" nav attiecināma arī uz 5.kārtu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Ņemot vērā, ka šo noteikumu piektajā kārtā ir "divu periodu" jeb posmotie projekti, kuriem atsevišķa atlase, t.sk.,  vērtēšanas kritēriji netika noteikti, līdz ar to netika vērtēta šāda prasība.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atbilstoši Regulas Nr. </w:t>
            </w:r>
            <w:r w:rsidR="00000000" w:rsidRPr="00000000" w:rsidDel="00000000">
              <w:rPr>
                <w:rtl w:val="0"/>
              </w:rPr>
              <w:t xml:space="preserve">2021/1060</w:t>
            </w:r>
            <w:r w:rsidR="00000000" w:rsidRPr="00000000" w:rsidDel="00000000">
              <w:rPr>
                <w:rtl w:val="0"/>
              </w:rPr>
              <w:t xml:space="preserve"> 9. panta 4. punktam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kuru groza Regulu (ES) </w:t>
            </w:r>
            <w:r w:rsidR="00000000" w:rsidRPr="00000000" w:rsidDel="00000000">
              <w:rPr>
                <w:rtl w:val="0"/>
              </w:rPr>
              <w:t xml:space="preserve">2019/2088</w:t>
            </w:r>
            <w:r w:rsidR="00000000" w:rsidRPr="00000000" w:rsidDel="00000000">
              <w:rPr>
                <w:rtl w:val="0"/>
              </w:rPr>
              <w:t xml:space="preserve">, 17. pantam nodrošina, ka tiek ievēroti šādi principa "Nenodarīt būtisku kaitējumu" vides mērķi (šis nosacījums neattiecas uz 4.1.1.1. pasākuma piektās kārtas finansējuma saņēmējiem):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"Valsts nekustamie īpašumi" kā sadarbības partneris veiks MK noteikumu 50.9.apakšpunktā minētos iepirkumus, lūdzam attiecīgi papildināt minēto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w:t>
            </w:r>
            <w:r w:rsidR="00000000" w:rsidRPr="00000000" w:rsidDel="00000000">
              <w:rPr>
                <w:b w:val="1"/>
                <w:rtl w:val="0"/>
              </w:rPr>
              <w:t xml:space="preserve">vai sadarbības partneris</w:t>
            </w:r>
            <w:r w:rsidR="00000000" w:rsidRPr="00000000" w:rsidDel="00000000">
              <w:rPr>
                <w:rtl w:val="0"/>
              </w:rPr>
              <w:t xml:space="preserve">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vai sadarbības partneris, iespēju robežās,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anotācijā ir norādīts, ka Finansējuma saņēmējs nodrošinās, ka iepirkumu, kas nepieciešams atbalstāmo darbību īstenošanai, finansējuma saņēmējs iespēju robežās veiks kā sociāli atbildīgu iepirkumu [..], izskatīt iespēju, ka MK noteikumu 50.9. apakšpunktā arī tiek norādīts, ka tiks nodrošināti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 nodrošina, ka iepirkumus, kuri nepieciešami atbalstāmo darbību īstenošanai, finansējuma saņēmējs vai sadarbības partneris, iespēju robežās,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pielikumu, norādot, kuram atbalsta saņēmējam tiek plānots novirzīt elastības finansējumu,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 norādot, ka elastības finansējuma saņēmējs ir PSKUS (piektās kārtas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25-TA-1360</w:t>
    </w:r>
    <w:r>
      <w:br/>
    </w:r>
    <w:r w:rsidR="00000000" w:rsidRPr="00000000" w:rsidDel="00000000">
      <w:rPr>
        <w:rtl w:val="0"/>
      </w:rPr>
      <w:t xml:space="preserve">14.07.2025. 10.01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25-TA-1360</w:t>
    </w:r>
    <w:r>
      <w:br/>
    </w:r>
    <w:r w:rsidR="00000000" w:rsidRPr="00000000" w:rsidDel="00000000">
      <w:rPr>
        <w:rtl w:val="0"/>
      </w:rPr>
      <w:t xml:space="preserve">14.07.2025. 10.01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Izziņa_25-TA-1360.docx</dc:title>
</cp:coreProperties>
</file>

<file path=docProps/custom.xml><?xml version="1.0" encoding="utf-8"?>
<Properties xmlns="http://schemas.openxmlformats.org/officeDocument/2006/custom-properties" xmlns:vt="http://schemas.openxmlformats.org/officeDocument/2006/docPropsVTypes"/>
</file>