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25-TA-375: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12. aprīļa noteikumos Nr. 207 "Vienkāršu spiedtvertņu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11.02.2026. 09:23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korespondējošajai direktīvas vienībai, ne vien informācijai uz iekārtas (tātad - tvertnes), bet arī visiem marķējumiem ir jābūt skaidriem, saprotamiem un viegli uztveramiem, tādēļ lūdzam attiecīgi papildināt noteikumu projektu vai skaidrot, kā paredzēts pārņemt prasību attiecībā uz marķējumiem noteikumu projekta anotācijas 5.4. apakšsadaļas 1. tabulā. Papildus aicinām noteikumu projektu papildināt ar norādi par informācijas vieglu uztveramību, kas attiecīgajā direktīvas vienībā ir uzsvērta.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izvērtēta noteikumu projekta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krīzē būtisko preci-tvertni un ar to saistīto marķējumu jāskatās viss prasību kopums, gan to, ka Eiropas Komisija precizēs īstenošanas aktu tvertnes informācija saturu un noformējumu, gan to, ka tirgus uzraudzības institūcija piešķirs atjauju laist tirgu tvertnes, kurām varēs būt marķējums "krīzē būtiska prece", kā arī to, ka 5. punkta 108.</w:t>
            </w:r>
            <w:r w:rsidR="00000000" w:rsidRPr="00000000" w:rsidDel="00000000">
              <w:rPr>
                <w:vertAlign w:val="superscript"/>
                <w:rtl w:val="0"/>
              </w:rPr>
              <w:t xml:space="preserve">10</w:t>
            </w:r>
            <w:r w:rsidR="00000000" w:rsidRPr="00000000" w:rsidDel="00000000">
              <w:rPr>
                <w:rtl w:val="0"/>
              </w:rPr>
              <w:t xml:space="preserve"> apakšpunkts paredz šādu prasību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 Attiecīgi, tiek saglabāts vispārīgs formulējums attiecībā uz marķējumu.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precizēta noteikumu projekta anotācijas 5.4. apakšsadaļas 1. tabulā sniegtā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veicamos pasākumus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vai svītrot prasību, ka norādītā informācija ir valsts valodā, jo minētā norma pirmšķietami vismaz daļēji dublē Valsts valodas likuma 21. pantā noteikto. Ja prasība tiek svītrota, lūdzam anotācijas 5.4. apakšsadaļas 1. tabulā norādīt attiecīgo Valsts valodas likuma normu, kas paredz informācijas norādīšanu valsts valodā, ja ar minēto likumu var tikt pienācīgi pārņemtas attiecīgās direktīvas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prasība ir atkārtoti izvērtēta, tomēr secināts, ka nepieciešams saglabāt noteikumu projekta punkta redakciju, turklāt jau šāda prasība ir noteikta līdzīgā normatīvajā regulējumā par radioiekārtu atbilstības novērtēšanu.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veicamos pasākumus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 "saistošu",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svītrot vārdu "saistošu".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veicamos pasākumus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Eiropas Komisijas īstenošanas akti var būt arī Eiropas Savienības direktīvas vai dalībvalstīm adresēti lēmumi, savukārt noteikumu projektā pieļaujams atsaukties vienīgi uz tieši piemērojamiem Eiropas Savienības normatīvajiem aktiem (regulām), tādēļ lūdzam izvērtēt un atbilstoši precizēt vai svītrot arī pārējās atsauces uz Eiropas Komisijas īstenošanas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Saprotams, ka Eiropas Komisijas īstenošanas akti var tikt pieņemti dažādās juridiskajās formās. Vienlaikus, lai nodrošinātu direktīvā paredzētā mehānisma korektu pārņemšanu, noteikumu projektā ir noteikts regulējums, paredzot, ka attiecīgās tiesiskās sekas iestājas, ja Eiropas Komisija saskaņā ar Eiropas Savienības tiesību aktiem ar īstenošanas aktu nosaka konkrētas preces kā krīzē būtiskas. Tādējādi tiek nodrošināta atbilstība gan direktīvas prasībām, gan juridiskās tehnikas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veicamos pasākumus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novērtējumā ir veikts aprēķins Tirgus uzraudzības iestādei par darbības atļaujas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aprēķins attiecas uz iestādes funkciju vai uzdevumu izpildes nodrošināšanu, vai deleģētu uzdevumu (piemēram, iekšējo procesu vai uzraudzības darbību veikšanu), tad šādas izmaksas nav kvalificējamas kā administratīvais slogs Ministru kabineta noteikumu Nr. 617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veikto aprēķinu atbilstību administratīvā sloga metodikai un, ja aprēķins attiecas uz iestādes vai deleģētu funkciju izpildi, to dzēst no administratīvā sloga sadaļas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sadaļa 2.3. "Administratīvo izmaksu novērtējums juridiskām personām", dzēšot no administratīvā sloga sadaļas aprēķinu Tirgus uzraudzības iestādei par darbības atļaujas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novērtējuma skaidrojuma sadaļā lūdzam norādīt, uz kuriem noteikumu projekta punktiem un apakšpunktiem attiecas veiktie aprēķini, atbilstoši Vadlīnijās tiesību akta sākotnējās ietekmes novērtēšanai un novērtējuma ziņojuma sagatavošanai vienotajā TAP portālā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sadaļa 2.3. "Administratīvo izmaksu novērtējums juridiskām personām" papildinot informāciju ar konkrētiem noteikumu projekta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Atbilstības izmaksu novērtējuma skaidrojuma sadaļā lūdzam norādīt, uz kuru noteikumu projekta punktu vai apakšpunktu attiecas veiktais aprēķins, atbilstoši Vadlīnijās tiesību akta sākotnējās ietekmes novērtēšanai un novērtējuma ziņojuma sagatavošanai vienotajā TAP portālā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sadaļa 2.5. "Atbilstības izmaksu novērtējums" papildinot informāciju ar konkrētiem noteikumu projekta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noteikumu projekta 6. punktā pārņemta Eiropas Parlamenta un Padomes 2024. gada 9. oktobra Direktīvas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4. panta 2. apakšpunkta piektā daļa (grozītās direktīvas 38.e panta 2. punkts), vai precizēt anotācijas 5.4. apakšsadaļas 1. tabulā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5.4. apakšsadaļas 1. tabulā ietvertā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12.11.2025. 20:55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- 26.11.2025.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punktā (noteikumu 108.</w:t>
            </w:r>
            <w:r w:rsidR="00000000" w:rsidRPr="00000000" w:rsidDel="00000000">
              <w:rPr>
                <w:vertAlign w:val="superscript"/>
                <w:rtl w:val="0"/>
              </w:rPr>
              <w:t xml:space="preserve">4</w:t>
            </w:r>
            <w:r w:rsidR="00000000" w:rsidRPr="00000000" w:rsidDel="00000000">
              <w:rPr>
                <w:rtl w:val="0"/>
              </w:rPr>
              <w:t xml:space="preserve"> punktā) ir ietvertas informācijas sniegšanas prasības, proti, iesaistītajai personai ir jāsagatavo pamatots pieprasījums. Līdz ar to, lūdzu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2.sadaļā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- 26.11.2025.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punktā (noteikumu 108.</w:t>
            </w:r>
            <w:r w:rsidR="00000000" w:rsidRPr="00000000" w:rsidDel="00000000">
              <w:rPr>
                <w:vertAlign w:val="superscript"/>
                <w:rtl w:val="0"/>
              </w:rPr>
              <w:t xml:space="preserve">6</w:t>
            </w:r>
            <w:r w:rsidR="00000000" w:rsidRPr="00000000" w:rsidDel="00000000">
              <w:rPr>
                <w:rtl w:val="0"/>
              </w:rPr>
              <w:t xml:space="preserve"> punktā) ir noteikta atbilstības prasība, līdz ar to, lūdzu veikt tiesību aktā ietverto atbilstības prasību pienākumu izvērtējumu un atbilstoši izvērtējuma rezultātiem sagatavot atbilstības izmaksu monetāro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ja tiek konstatēta ietekme, jāveic administratīvo izmaksu monetārais novērtējums saskaņā ar Ministru kabineta 2021. gada 7. septembra noteikumu Nr. 617 “Tiesību akta projekta sākotnējās ietekmes izvērtēšanas kārtība” 15.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aprēķinu veikšanu, Valsts kanceleja aicina izmantot Vadlīnijās tiesību akta sākotnējās ietekmes novērtēšanai un novērtējuma ziņojuma sagatavošanai vienotajā TAP portālā (turpmāk - vadlīnijas) (pieejamas Ministru kabineta tīmekļvietnē: https://www.mk.gov.lv/lv/media/16905/download?attachment) 22.–25. lappusē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vadlīnijās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2.sadaļā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- 26.11.2025.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 punktā (noteikumu 108.5 punktā) ir ietvertas informācijas sniegšanas prasības, proti, tirgus uzraudzības iestāde  informē Eiropas Komisiju un pārējās dalībvalstis par izsniegtajām atļaujām. Līdz ar to, lūdzu veikt tiesību aktā iekļauto informācijas sniegšanas pienākumu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7.sadaļa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pilnveidot skaidrojumu par Eiropas Parlamenta un Padomes 2024. gada 9. oktobra Direktīvā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ietverto prasību pārņemšanu un skaidrot, kā pārņemtas 4. panta 2. apakšpunkta pirmā daļa (grozītās direktīvas 38.a panta 1.-3. punkts, kas pretēji izziņā minētajam satur dalībvalsts pienākumus), 4. panta 2. apakšpunkta trešā daļa (grozītās direktīvas 38.c panta 4. punktu attiecībā uz citas dalībvalsts kompetentās valsts iestādes atļauju atzīšanas kārtību, par ko noteikumu projektā nav ietverts konkrēts tiesiskais regulējums), 4. panta 2. apakšpunkta piektā daļa (grozītās direktīvas 38.e panta 2. punkts, kam noteikumu projektā nav atrodams korespondējošs regulējums), nepieciešamības gadījumā papildinot noteikumu projektu. Kā arī aicinām norādīt grozītās direktīvas vienības (apakšvienības) (piemēram, iekavās), lai nodrošināt, ka sniegtais skaidrojums ir nepārprotams.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precizēta Anotācija, proti, 5.4.sadaļas 1.tabula.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22.10.2025. 18:53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Noteikumus ar 10.</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Atbilstības prezumpcija un tirgus uzraudzība tvertnēm,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Tvertnes, kuras Eiropas Komisija ar īstenošanas aktu atzinusi par krīzē būtiskām precēm, uzskaitot piemērojamos standartus vai nosakot kopējas specifikācijas tvertnēm, atbilst šo noteikumu būtiskajām drošuma prasībām, uz kurām attiecas šie standarti, kopējās specifikācijas vai to daļas.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13</w:t>
            </w:r>
            <w:r w:rsidR="00000000" w:rsidRPr="00000000" w:rsidDel="00000000">
              <w:rPr>
                <w:rtl w:val="0"/>
              </w:rPr>
              <w:t xml:space="preserve">Ja vien nav pietiekama iemesla uzskatīt, ka tvertnes, uz kurām attiecas standarti vai kopējās specifikācijas, kas minētas 108.14 punktā, rada risku cilvēku veselībai vai drošībai, tvertnes,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14</w:t>
            </w:r>
            <w:r w:rsidR="00000000" w:rsidRPr="00000000" w:rsidDel="00000000">
              <w:rPr>
                <w:rtl w:val="0"/>
              </w:rPr>
              <w:t xml:space="preserve"> Tirgus uzraudzības iestādes uzraudzību prioritāri veic tām tvertnēm,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Komisijas īstenošanas akti var būt arī Eiropas Savienības direktīvas vai lēmumi, savukārt noteikumu projektā pieļaujams atsaukties vienīgi uz tieši piemērojamiem Eiropas Savienības normatīvajiem aktiem - regulām, tādēļ lūdzam izvērtēt un atbilstoši precizēt vai svītrot atsauci uz Eiropas Komisijas īstenošanas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108.</w:t>
            </w:r>
            <w:r w:rsidR="00000000" w:rsidRPr="00000000" w:rsidDel="00000000">
              <w:rPr>
                <w:vertAlign w:val="superscript"/>
                <w:rtl w:val="0"/>
              </w:rPr>
              <w:t xml:space="preserve">12</w:t>
            </w:r>
            <w:r w:rsidR="00000000" w:rsidRPr="00000000" w:rsidDel="00000000">
              <w:rPr>
                <w:rtl w:val="0"/>
              </w:rPr>
              <w:t xml:space="preserve"> punkts nosakot, ka "Tvertnes, kuras Eiropas Komisija ar īstenošanas aktu atzinusi par krīzē būtiskām precēm". Vienlaikus,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10.</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Atbilstības prezumpcija un tirgus uzraudzība tvertnēm,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13</w:t>
            </w:r>
            <w:r w:rsidR="00000000" w:rsidRPr="00000000" w:rsidDel="00000000">
              <w:rPr>
                <w:rtl w:val="0"/>
              </w:rPr>
              <w:t xml:space="preserve"> Tvertnes, kuras ar Eiropas Savienības tieši piemērojamiem tiesību aktiem atzītas par krīzē būtiskām precēm, uzskaitot piemērojamos standartus vai nosakot kopējas specifikācijas tvertnēm,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14 </w:t>
            </w:r>
            <w:r w:rsidR="00000000" w:rsidRPr="00000000" w:rsidDel="00000000">
              <w:rPr>
                <w:rtl w:val="0"/>
              </w:rPr>
              <w:t xml:space="preserve">Ja vien nav pietiekama iemesla uzskatīt, ka tvertnes, uz kurām attiecas standarti vai kopējās specifikācijas, kas minētas 108.</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tvertnes,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tvertnēm, kas atzītas par krīzē būtisku preci."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skaidrojumu par Eiropas Parlamenta un Padomes 2024. gada 9. oktobra Direktīvā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ietverto prasību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tabulas B aili, kas aizpildīta acīmredzami nekorekti, jo noteikumu projektā nav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kā pārņemta 4. panta 2. apakšpunkta pirmā daļa (grozītās direktīvas 38.a panta 1.-3. punkts), 4. panta 2. punkta trešā daļa (grozītās direktīvas 38.c panta 4. punktu attiecībā uz citas dalībvalsts kompetentās valsts iestādes atļauju atzīšanas kārtību), 4. panta 2. punkta piektā daļa (grozītās direktīvas 38.e panta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5.4.sadaļas 1.tabula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2.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Tvertņu būtiskās drošuma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grozījumu.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 nodaļas nosaukumu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Tvertņu būtiskās drošuma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Noteikumus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5</w:t>
            </w:r>
            <w:r w:rsidR="00000000" w:rsidRPr="00000000" w:rsidDel="00000000">
              <w:rPr>
                <w:rtl w:val="0"/>
              </w:rPr>
              <w:t xml:space="preserve"> Tirgus uzraudzības iestāde nekavējoties informē Eiropas Komisiju un pārējās dalībvalstis par jebkurām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7</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8</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8</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w:t>
            </w:r>
            <w:r w:rsidR="00000000" w:rsidRPr="00000000" w:rsidDel="00000000">
              <w:rPr>
                <w:vertAlign w:val="superscript"/>
                <w:rtl w:val="0"/>
              </w:rPr>
              <w:t xml:space="preserve">8</w:t>
            </w:r>
            <w:r w:rsidR="00000000" w:rsidRPr="00000000" w:rsidDel="00000000">
              <w:rPr>
                <w:rtl w:val="0"/>
              </w:rPr>
              <w:t xml:space="preserve"> 2. jebkuras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w:t>
            </w:r>
            <w:r w:rsidR="00000000" w:rsidRPr="00000000" w:rsidDel="00000000">
              <w:rPr>
                <w:vertAlign w:val="superscript"/>
                <w:rtl w:val="0"/>
              </w:rPr>
              <w:t xml:space="preserve">8</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w:t>
            </w:r>
            <w:r w:rsidR="00000000" w:rsidRPr="00000000" w:rsidDel="00000000">
              <w:rPr>
                <w:vertAlign w:val="superscript"/>
                <w:rtl w:val="0"/>
              </w:rPr>
              <w:t xml:space="preserve">8</w:t>
            </w:r>
            <w:r w:rsidR="00000000" w:rsidRPr="00000000" w:rsidDel="00000000">
              <w:rPr>
                <w:rtl w:val="0"/>
              </w:rPr>
              <w:t xml:space="preserve"> 4. jebkuras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w:t>
            </w:r>
            <w:r w:rsidR="00000000" w:rsidRPr="00000000" w:rsidDel="00000000">
              <w:rPr>
                <w:vertAlign w:val="superscript"/>
                <w:rtl w:val="0"/>
              </w:rPr>
              <w:t xml:space="preserve">8</w:t>
            </w:r>
            <w:r w:rsidR="00000000" w:rsidRPr="00000000" w:rsidDel="00000000">
              <w:rPr>
                <w:rtl w:val="0"/>
              </w:rPr>
              <w:t xml:space="preserve"> 5. pasākumus, kas jāveic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10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vertAlign w:val="superscript"/>
                <w:rtl w:val="0"/>
              </w:rPr>
              <w:t xml:space="preserve">6</w:t>
            </w:r>
            <w:r w:rsidR="00000000" w:rsidRPr="00000000" w:rsidDel="00000000">
              <w:rPr>
                <w:rtl w:val="0"/>
              </w:rPr>
              <w:t xml:space="preserve"> punktā minētās atļaujas piešķiršanas procedūra neietekmē šo noteikumu 4.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konsekventi atsaukties uz šo noteikumu 2. pielikumā norādītajām būtiskajām drošuma prasībām (noteikumu projektā vietām norādīts uz būtiskajām prasībām, bet cituviet - uz būtiskajām drošības pamatprasībām).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ar 10.</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tvertnes, kurām nav veiktas šo noteikumu 4. nodaļā minētās atbilstības novērtēšanas procedūras, ja ir apliecināta atbilstība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i w:val="1"/>
                <w:rtl w:val="0"/>
              </w:rPr>
              <w:t xml:space="preserve">.</w:t>
            </w:r>
            <w:r w:rsidR="00000000" w:rsidRPr="00000000" w:rsidDel="00000000">
              <w:rPr>
                <w:vertAlign w:val="superscript"/>
                <w:rtl w:val="0"/>
              </w:rPr>
              <w:t xml:space="preserve">5</w:t>
            </w:r>
            <w:r w:rsidR="00000000" w:rsidRPr="00000000" w:rsidDel="00000000">
              <w:rPr>
                <w:i w:val="1"/>
                <w:vertAlign w:val="superscript"/>
                <w:rtl w:val="0"/>
              </w:rPr>
              <w:t xml:space="preserve"> </w:t>
            </w:r>
            <w:r w:rsidR="00000000" w:rsidRPr="00000000" w:rsidDel="00000000">
              <w:rPr>
                <w:rtl w:val="0"/>
              </w:rPr>
              <w:t xml:space="preserve">Tirgus uzraudzības iestāde ir tiesīga atzīt citas Eiropas Savienības dalībvalsts kompetentās valsts iestādes atļauju un tās derīgumu pirms Eiropas Komisija ir pieņēmusi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6 </w:t>
            </w:r>
            <w:r w:rsidR="00000000" w:rsidRPr="00000000" w:rsidDel="00000000">
              <w:rPr>
                <w:rtl w:val="0"/>
              </w:rPr>
              <w:t xml:space="preserve">Tirgus uzraudzības iestāde nekavējoties informē Eiropas Komisiju un pārējās dalībvalstis par atļaujām, kas piešķirtas saskaņā ar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7</w:t>
            </w:r>
            <w:r w:rsidR="00000000" w:rsidRPr="00000000" w:rsidDel="00000000">
              <w:rPr>
                <w:rtl w:val="0"/>
              </w:rPr>
              <w:t xml:space="preserve"> Uz tvertnes, kuru atļauts laist tirgū saskaņā ar 108.</w:t>
            </w:r>
            <w:r w:rsidR="00000000" w:rsidRPr="00000000" w:rsidDel="00000000">
              <w:rPr>
                <w:vertAlign w:val="superscript"/>
                <w:rtl w:val="0"/>
              </w:rPr>
              <w:t xml:space="preserve">4</w:t>
            </w:r>
            <w:r w:rsidR="00000000" w:rsidRPr="00000000" w:rsidDel="00000000">
              <w:rPr>
                <w:rtl w:val="0"/>
              </w:rPr>
              <w:t xml:space="preserve"> punktā minēto atkāpi, norāda, ka tā ir laista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8</w:t>
            </w:r>
            <w:r w:rsidR="00000000" w:rsidRPr="00000000" w:rsidDel="00000000">
              <w:rPr>
                <w:rtl w:val="0"/>
              </w:rPr>
              <w:t xml:space="preserve"> Tvertņu ražotāji, kuriem tiek piemērota šo noteikumu 108.</w:t>
            </w:r>
            <w:r w:rsidR="00000000" w:rsidRPr="00000000" w:rsidDel="00000000">
              <w:rPr>
                <w:vertAlign w:val="superscript"/>
                <w:rtl w:val="0"/>
              </w:rPr>
              <w:t xml:space="preserve">4</w:t>
            </w:r>
            <w:r w:rsidR="00000000" w:rsidRPr="00000000" w:rsidDel="00000000">
              <w:rPr>
                <w:rtl w:val="0"/>
              </w:rPr>
              <w:t xml:space="preserve"> punktā minētā atkāpe, izmantojot 1. pielikuma 2. punkta 3.3. apakšpunktā minēto tehnisko dokumentāciju, apliecina, ka attiecīgās tvertnes atbilsts visām šo noteikumu 2.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Tirgus uzraudzības iestāde izsniegtajā atļaujā, kas izdota pamatojoties uz 108.</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1. procedūru aprakstu, ar kurām pierādīta atbilstība šo noteikumu 2.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2. īpašās prasības attiecībā uz konkrētās tvertnes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9 </w:t>
            </w:r>
            <w:r w:rsidR="00000000" w:rsidRPr="00000000" w:rsidDel="00000000">
              <w:rPr>
                <w:rtl w:val="0"/>
              </w:rPr>
              <w:t xml:space="preserve">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konkrēto 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9</w:t>
            </w:r>
            <w:r w:rsidR="00000000" w:rsidRPr="00000000" w:rsidDel="00000000">
              <w:rPr>
                <w:rtl w:val="0"/>
              </w:rPr>
              <w:t xml:space="preserve"> 5. veicamos pasākumus attiecībā uz konkrēto tirgū laisto tvertni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sz w:val="20"/>
                <w:vertAlign w:val="superscript"/>
                <w:rtl w:val="0"/>
              </w:rPr>
              <w:t xml:space="preserve">10</w:t>
            </w:r>
            <w:r w:rsidR="00000000" w:rsidRPr="00000000" w:rsidDel="00000000">
              <w:rPr>
                <w:rtl w:val="0"/>
              </w:rPr>
              <w:t xml:space="preserve"> Uz tvertnēm, kurām piešķirta atļauja, saskaņā ar šo noteikumu 108.</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 un šo noteikumu 79. punktā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11 </w:t>
            </w:r>
            <w:r w:rsidR="00000000" w:rsidRPr="00000000" w:rsidDel="00000000">
              <w:rPr>
                <w:rtl w:val="0"/>
              </w:rPr>
              <w:t xml:space="preserve">Tirgus uzraudzības iestāde, ņemot vērā šo noteikumu 108.</w:t>
            </w:r>
            <w:r w:rsidR="00000000" w:rsidRPr="00000000" w:rsidDel="00000000">
              <w:rPr>
                <w:vertAlign w:val="superscript"/>
                <w:rtl w:val="0"/>
              </w:rPr>
              <w:t xml:space="preserve">4</w:t>
            </w:r>
            <w:r w:rsidR="00000000" w:rsidRPr="00000000" w:rsidDel="00000000">
              <w:rPr>
                <w:rtl w:val="0"/>
              </w:rPr>
              <w:t xml:space="preserve"> un 108.</w:t>
            </w:r>
            <w:r w:rsidR="00000000" w:rsidRPr="00000000" w:rsidDel="00000000">
              <w:rPr>
                <w:vertAlign w:val="superscript"/>
                <w:rtl w:val="0"/>
              </w:rPr>
              <w:t xml:space="preserve">5</w:t>
            </w:r>
            <w:r w:rsidR="00000000" w:rsidRPr="00000000" w:rsidDel="00000000">
              <w:rPr>
                <w:rtl w:val="0"/>
              </w:rPr>
              <w:t xml:space="preserve">  punktu, ir tiesīga tvertnēm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Šo noteikumu 108.</w:t>
            </w:r>
            <w:r w:rsidR="00000000" w:rsidRPr="00000000" w:rsidDel="00000000">
              <w:rPr>
                <w:vertAlign w:val="superscript"/>
                <w:rtl w:val="0"/>
              </w:rPr>
              <w:t xml:space="preserve">4</w:t>
            </w:r>
            <w:r w:rsidR="00000000" w:rsidRPr="00000000" w:rsidDel="00000000">
              <w:rPr>
                <w:rtl w:val="0"/>
              </w:rPr>
              <w:t xml:space="preserve"> - 108.</w:t>
            </w:r>
            <w:r w:rsidR="00000000" w:rsidRPr="00000000" w:rsidDel="00000000">
              <w:rPr>
                <w:sz w:val="20"/>
                <w:vertAlign w:val="superscript"/>
                <w:rtl w:val="0"/>
              </w:rPr>
              <w:t xml:space="preserve">5</w:t>
            </w:r>
            <w:r w:rsidR="00000000" w:rsidRPr="00000000" w:rsidDel="00000000">
              <w:rPr>
                <w:rtl w:val="0"/>
              </w:rPr>
              <w:t xml:space="preserve"> punktā minētās atļaujas piešķiršanas procedūra neietekmē šo noteikumu 4. nodaļā noteikto attiecīgo atbilstības novērtēšanas procedūru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Noteikumus ar 10.</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Atbilstības prezumpcija un tirgus uzraudzība tvertnēm,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12</w:t>
            </w:r>
            <w:r w:rsidR="00000000" w:rsidRPr="00000000" w:rsidDel="00000000">
              <w:rPr>
                <w:rtl w:val="0"/>
              </w:rPr>
              <w:t xml:space="preserve"> Tvertnes, kuras Eiropas Komisija ar īstenošanas aktu atzinusi par krīzē būtiskām precēm, uzskaitot piemērojamos standartus vai nosakot kopējas specifikācijas tvertnēm, atbilst šo noteikumu būtiskajām drošuma prasībām, uz kurām attiecas šie standarti, kopējās specifikācijas vai to daļas.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13</w:t>
            </w:r>
            <w:r w:rsidR="00000000" w:rsidRPr="00000000" w:rsidDel="00000000">
              <w:rPr>
                <w:rtl w:val="0"/>
              </w:rPr>
              <w:t xml:space="preserve">Ja vien nav pietiekama iemesla uzskatīt, ka tvertnes, uz kurām attiecas standarti vai kopējās specifikācijas, kas minētas 108.14 punktā, rada risku cilvēku veselībai vai drošībai, tvertnes,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14</w:t>
            </w:r>
            <w:r w:rsidR="00000000" w:rsidRPr="00000000" w:rsidDel="00000000">
              <w:rPr>
                <w:rtl w:val="0"/>
              </w:rPr>
              <w:t xml:space="preserve"> Tirgus uzraudzības iestādes uzraudzību prioritāri veic tām tvertnēm,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norādot, ka nav iespējams paļauties uz atbilstības prezumpciju, ko nodrošina attiecīgie standarti vai kopējās specifikācijas </w:t>
            </w:r>
            <w:r w:rsidR="00000000" w:rsidRPr="00000000" w:rsidDel="00000000">
              <w:rPr>
                <w:u w:val="single"/>
                <w:rtl w:val="0"/>
              </w:rPr>
              <w:t xml:space="preserve">nākamajā dienā</w:t>
            </w:r>
            <w:r w:rsidR="00000000" w:rsidRPr="00000000" w:rsidDel="00000000">
              <w:rPr>
                <w:rtl w:val="0"/>
              </w:rPr>
              <w:t xml:space="preserve"> pēc iekšējā tirgus ārkārtas situācijas izbeigšanās, tādējādi nodrošinot attiecīgās normas nepārprotamu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attiecīgi papildinot 108.</w:t>
            </w:r>
            <w:r w:rsidR="00000000" w:rsidRPr="00000000" w:rsidDel="00000000">
              <w:rPr>
                <w:vertAlign w:val="superscript"/>
                <w:rtl w:val="0"/>
              </w:rPr>
              <w:t xml:space="preserve">12</w:t>
            </w:r>
            <w:r w:rsidR="00000000" w:rsidRPr="00000000" w:rsidDel="00000000">
              <w:rPr>
                <w:rtl w:val="0"/>
              </w:rPr>
              <w:t xml:space="preserve"> punkta otro teikumu ar vārdiem "nākamajā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10.</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3</w:t>
            </w:r>
            <w:r w:rsidR="00000000" w:rsidRPr="00000000" w:rsidDel="00000000">
              <w:rPr>
                <w:rtl w:val="0"/>
              </w:rPr>
              <w:t xml:space="preserve"> Atbilstības prezumpcija un tirgus uzraudzība tvertnēm,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13</w:t>
            </w:r>
            <w:r w:rsidR="00000000" w:rsidRPr="00000000" w:rsidDel="00000000">
              <w:rPr>
                <w:rtl w:val="0"/>
              </w:rPr>
              <w:t xml:space="preserve"> Tvertnes, kuras ar Eiropas Savienības tieši piemērojamiem tiesību aktiem atzītas par krīzē būtiskām precēm, uzskaitot piemērojamos standartus vai nosakot kopējas specifikācijas tvertnēm,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14 </w:t>
            </w:r>
            <w:r w:rsidR="00000000" w:rsidRPr="00000000" w:rsidDel="00000000">
              <w:rPr>
                <w:rtl w:val="0"/>
              </w:rPr>
              <w:t xml:space="preserve">Ja vien nav pietiekama iemesla uzskatīt, ka tvertnes, uz kurām attiecas standarti vai kopējās specifikācijas, kas minētas 108.</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tvertnes,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tvertnēm, kas atzītas par krīzē būtisku preci."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25-TA-375</w:t>
    </w:r>
    <w:r>
      <w:br/>
    </w:r>
    <w:r w:rsidR="00000000" w:rsidRPr="00000000" w:rsidDel="00000000">
      <w:rPr>
        <w:rtl w:val="0"/>
      </w:rPr>
      <w:t xml:space="preserve">03.03.2026. 11.27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25-TA-375</w:t>
    </w:r>
    <w:r>
      <w:br/>
    </w:r>
    <w:r w:rsidR="00000000" w:rsidRPr="00000000" w:rsidDel="00000000">
      <w:rPr>
        <w:rtl w:val="0"/>
      </w:rPr>
      <w:t xml:space="preserve">03.03.2026. 11.27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Izziņa_25-TA-375.docx</dc:title>
</cp:coreProperties>
</file>

<file path=docProps/custom.xml><?xml version="1.0" encoding="utf-8"?>
<Properties xmlns="http://schemas.openxmlformats.org/officeDocument/2006/custom-properties" xmlns:vt="http://schemas.openxmlformats.org/officeDocument/2006/docPropsVTypes"/>
</file>