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25-TA-1095: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Aktualizētā Nacionālā enerģētikas un klimata plāna 2021. - 2030. gadam Informatīvais ziņojums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Aktualizētā Nacionālā enerģētikas un klimata plāna 2021. - 2030. gadam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Informatīvajā ziņojuma (3.lpp) tekstu "Visās darba grupās tika diskutēti divi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pasūtītais Nacionālā enerģētikas un klimata plāna sociālekonomisko izvērtējums, ko veica Latvijas Universitāte;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 saskaņošanas procesā saņemtos iebildumus un priekšlikumus." izteikt atbilstoši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Visās darba grupās tika diskutēti divi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pasūtītais Nacionālā enerģētikas un klimata plāna sociālekonomiskais ietekmes uz vidi izvērtējums, ko veica Latvijas Universitāte;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 saskaņošanas procesā saņemtie iebildumi un priekšlikumi.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norādēm par Aktualizētā plāna “Nacionālais enerģētikas un klimata plāns 2021. - 2030.gadam” stratēģisko ietekmes uz vides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Aktualizētā Nacionālā enerģētikas un klimata plāna 2021. - 2030. gadam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Aktualizētā Nacionālā Enerģētikas un klimata plāna 2021-2030 (NEKP2030) Stratēģiskā ietekmes uz vidi novērtējuma 1. un 2. pielikuma lapā "Transports" norādīto informāciju un I kolonnā (Jauns/no esošās politikas) atsaukties uz pasākumu saistību ar Transporta attīstības pamatnostādnēm 2021-2027 (TAP2027):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NEKP2030 pasākums “3.1.1.4. Veicināt kravu “pārnesi” uz dzelzceļu” saistāms ar TAP2027 pasākumu “2.1.2. Īstenot Salaspils intermodālā kravu pārkraušanas termināļa attīstību, nosakot pārvaldības modeli, piesaistot operatoru, uzsākot būvniecību un nodrošinot konkurētspējīgu attīstību sasaistē ar kaimiņvalstīm un citiem transporta veidiem Latvijā”. Tāpat tas atbilst TAP2027 pasākumiem, kas saistāmi ar loģistikas pakalpojumu konkurētspējas paaugstināšanu. Papildus norādām, ka TAP2027 iekļauts rezultatīvais rādītājs “Ar dzelzceļa transportu veikto iekšzemes pārvadājumu apjoma (milj. tonnu km) īpatsvars kopējos iekšzemes kravu pārvadājumos” ar mērķi šo īpatsvaru palielināt;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NEKP2030 pasākumi “3.1.1.10. Palielināt uzlādes staciju / punktu skaitu”, “3.1.1.12. Palielināt bezemisiju mikromobilitātes rīku skaitu” un “3.1.1.14. Izbūvēt lēnās uzlādes punktus, t.sk. e-velosipēdiem, pie daudzdzīvokļu namiem, autostāvvietās” saistāmi arī ar TAP2027 pasākumiem, piemēram, pasākumu “4.3.1. Alternatīvo degvielu infrastruktūras attīstīšana un uzturēšana (t.sk. ETL uzlādes vietas, ūdeņraža, CNG un LNG uzpildes stacijas)”;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NEKP2030 pasākumi “3.1.1.6. Smagā transporta zaļināšanas programma”, “3.1.1.9. Veicināt komercpārvadājumu pāreju uz bezemisiju autoparku”, “3.1.1.16. Elektrificēt sabiedrisko transportu un uzlabot sabiedriskā transporta elektroenerģijas infrastruktūru”, “3.1.1.17. Sniegt atbalstu pašvaldībām metāna sabiedriskā transporta transportlīdzekļu iegādei vai pārbūvei”, “3.1.1.19. Sniegt atbalstu pašvaldībām ūdeņraža sabiedriskā transporta transportlīdzekļu autobusu iegādei”, un “3.1.1.21. Izveidot valsts subsidētu sabiedrisko transportu (EV) pēc pieprasījuma lauku reģionu iedzīvotājiem” saistāmi arī ar TAP2027, t.i., pasākumu, “4.3.3. Atbalsts mazemisiju un bezemisiju transportlīdzekļu skaita palielināšanai, t.sk. valsts pārvaldes iestādēs, kapitālsabiedrībās, sabiedriskajā transportā un/vai specifiskās saimniecisko darbību jomās ar augstu degvielas patēriņu”;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NEKP2030 pasākums “3.1.1.23. Optimizēt sabiedriskā transporta sistēmu” ir tieši saistāms ar TAP2027 mērķi un vairākiem no pamatnostādnēs ietvertajiem pasākumiem. Tāpat arī vairāki TAP2027 rezultatīvie rādītāji ir vērsti uz sabiedriskā transporta pasažieru skaita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NEKP2030 pasākums “3.1.1.27. Attīstīt tranzīta koridorus un pieslēgumus tiem, novirzot intensīvas satiksmes plūsmas no dzīvojamām teritorijām” saistāms arī ar TAP2027 pasākumu “1.2.3. Pilsētu infrastruktūras sasaiste ar TEN-T tīklu”.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Aktualizētā Nacionālā enerģētikas un klimata plāna 2021. - 2030. gadam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precizēt, ka Latvijā “zaļā budžeta” marķēšanas mērķis ir izzināt valsts pamatbudžeta izdevumu un nodokļu ietekmi attiecībā pret visiem ES Taksonomijas vides mērķiem. Līdz ar to rekomendācija </w:t>
            </w:r>
            <w:r w:rsidR="00000000" w:rsidRPr="00000000" w:rsidDel="00000000">
              <w:rPr>
                <w:i w:val="1"/>
                <w:rtl w:val="0"/>
              </w:rPr>
              <w:t xml:space="preserve">"Uzlabot klimata pārmaiņām izdalīto līdzekļu uzskaites sistēmu (arī retrospektīvi par iepriekšējajiem gadiem), ieviešot “zaļā budžeta” marķēšanu Latvijā, kura palīdzēs saskaņot izdevumu un ieņēmumu plānošanu ar klimata un vides mērķiem."</w:t>
            </w:r>
            <w:r w:rsidR="00000000" w:rsidRPr="00000000" w:rsidDel="00000000">
              <w:rPr>
                <w:rtl w:val="0"/>
              </w:rPr>
              <w:t xml:space="preserve"> ir uzskatāma par autoru interpretāciju kā būtu jāievieš “zaļā budžeta” marķēšana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par skaidrojumu.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Aktualizētā Nacionālā enerģētikas un klimata plāna 2021. - 2030. gadam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informatīvo ziņojumu "Aktualizētā Nacionālā enerģētikas un klimata plāna 2021. - 2030.gadam informatīvais ziņojums" (turpmāk – informatīvais ziņojums) ar argumentētu skaidrojumu, kāpēc nav nepieciešams pārskatīt plānu "Aktualizētais Nacionālais enerģētikas un klimata plāns 2021.–2030.gadam" (turpmāk – aktualizētais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“Klimata mērķu ekonomiskās ietekmes modelēšana un analīze” ietvaros sagatavotajā gala ziņojumā "Nacionālā enerģētikas un klimata plāna sociālekonomiskais izvērtējums" (turpmāk – plāna izvērtējums) ir ietverti secinājumi par būtisku ieguldījumu nepieciešamību aktualizētā plāna mērķu sasniegšanai, plašāk iesaistot privāto sektoru. Tāpat plāna izvērtējumā rekomendēts, lai sasniegtu 2030.gada kopīgo centienu mērķrādītāju, politiski izvērtēt prioritātes ar viss lielāko efektu un tās prioritāri finansēt. Savukārt aktualizētā plāna stratēģiskā ietekmes uz vidi novērtējuma vides pārskatā (turpmāk – vides pārskats) norādīts, ka vēja enerģētikas straujas attīstības gadījumā ieteicams veikt vēja elektrostaciju ietekmju uz putniem un sikspārņiem nacionāla mēroga monitoringu un visas Latvijas kartēšanu.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šobrīd informatīvajā ziņojumā vispār nav norādīti argumenti, kāpēc nav nepieciešams pārskatīt aktualizēto plānu, tāpat nav sniegts skaidrojums, kāpēc ir pietiekami, ka plāna izvērtējumā un vides pārskatā ietvertās rekomendācijas tiek ņemtas vērā, plānojot konkrētu aktualizētā plāna pasākumu īstenošanu, kā arī izstrādājot vai grozot politikas plānošanas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norādīja, ka nav nepieciešams pārskatīt NEKP, balstoties uz Nacionālās enerģētikas un klimata padomes darba grupās notikušo diskusiju rezultātiem. Neviena no atbildīgajām ministrijām nepauda viedokli, ka būtu nepieciešami papildinājumi. Turpmāk, ieviešot NEKP pasākumus, tiks ņemtas vērā NEKP sociālekonomiskā izvērtējumā un Vides pārskatā iekļautās rekomendācijas.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atbilstoši Pārvaldības regulai ((ES) 2018/1999) nākamais NEKP projekts Eiropas Komisijai ir jāiesniedz līdz 2028.gada 1.janvārim, līdz ar to šobrīd ir jāstrādā pie definēto pasākumu ieviešanas un drīzumā jāuzsāk darbs pie nākamā NEKP projekta sagatavošanas.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25-TA-1095</w:t>
    </w:r>
    <w:r>
      <w:br/>
    </w:r>
    <w:r w:rsidR="00000000" w:rsidRPr="00000000" w:rsidDel="00000000">
      <w:rPr>
        <w:rtl w:val="0"/>
      </w:rPr>
      <w:t xml:space="preserve">03.06.2025. 08.33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25-TA-1095</w:t>
    </w:r>
    <w:r>
      <w:br/>
    </w:r>
    <w:r w:rsidR="00000000" w:rsidRPr="00000000" w:rsidDel="00000000">
      <w:rPr>
        <w:rtl w:val="0"/>
      </w:rPr>
      <w:t xml:space="preserve">03.06.2025. 08.33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Izziņa_25-TA-1095.docx</dc:title>
</cp:coreProperties>
</file>

<file path=docProps/custom.xml><?xml version="1.0" encoding="utf-8"?>
<Properties xmlns="http://schemas.openxmlformats.org/officeDocument/2006/custom-properties" xmlns:vt="http://schemas.openxmlformats.org/officeDocument/2006/docPropsVTypes"/>
</file>