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24-TA-672: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1.2.2. specifiskā atbalsta mērķa “Izmantot digitalizācijas priekšrocības uzņēmējdarbības attīstībai” 1.2.2.1. pasākuma “Atbalsts procesu digitalizācijai komercdarbībā”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plāno MK noteikumos ietvert nosacījumus – rādītājus, finansējumu, mērķi, atbalstāmās darbības, intervences kodus – saskaņā ar Ekonomikas ministrijas ierosinātajiem grozījumiem Eiropas Savienības kohēzijas politikas programmā 2021.–2027.gadam, tad lūdzam sniegt attiecīgu izvērstu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jāparedz risku, ka Eiropas Komisija var neatbalstīt Ekonomikas ministrijas ierosinātos grozījumus, tādējādi paredzot veikt attiecīgus grozījumus MK noteikumos, attiecīgi pievienojot MK noteikumiem MK protokollēmuma projektu, kas nosaka, ka gadījumā, ja Eiropas Komisija nesaskaņo ierosinātos grozījumus Eiropas Savienības kohēzijas politikas programmā 2021.–2027.gadam, Ekonomikas ministrija pārskata pasākuma nosacījumus un nepieciešamības gadījumā virza atbilstošus grozījumus MK noteikumos par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27 613 228 euro (tostarp elastības finansējums 4 355 304 euro), tai skaitā Eiropas Reģionālās attīstības fonda (turpmāk – ERAF) finansējums 23 471 243 euro (tostarp elastības finansējums 3 702 009 euro) un valsts budžeta līdzfinansējums 4 141 985 euro (tostarp elastības finansējums 653 295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izskatīt iespēju kā nacionālo līdzfinansējumu pasākuma īstenošanai noteikt arī privāto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tiek īstenota atbilstoši sākotnējiem mērķiem un finansējuma sadalījumam, kas apstiprināts līdz ar Eiropas Savienības kohēzijas politikas programmas 2021.–2027.gadam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būs Latvijas Investīciju un attīstības aģentūras, attiecīgi nav iespējas nodrošināt privāto finansējumu. Vienlaikus grantos ir paredzēta noteikta intensitāte, kas attiecīgi nosaka, ka gala labuma guvējiem ir jānodrošina arī privātais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27 613 228 euro (tostarp elastības finansējums 4 355 304 euro), tai skaitā Eiropas Reģionālās attīstības fonda (turpmāk – ERAF) finansējums 23 471 243 euro (tostarp elastības finansējums 3 702 009 euro) un valsts budžeta līdzfinansējums 4 141 985 euro (tostarp elastības finansējums 653 295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īstenošanai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noteikt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apakšpunktā minēto darbību īstenošanai attiecināmas šādas 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ekspertu piesaiste digitālā brieduma novērtēšanai un citi ārpakalpojumi)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argumentētu pamatojumu tam, ka pasākuma ietvaros pretēji sākotnēji plānotājiem </w:t>
            </w:r>
            <w:r w:rsidR="00000000" w:rsidRPr="00000000" w:rsidDel="00000000">
              <w:rPr>
                <w:u w:val="single"/>
                <w:rtl w:val="0"/>
              </w:rPr>
              <w:t xml:space="preserve">testiem</w:t>
            </w:r>
            <w:r w:rsidR="00000000" w:rsidRPr="00000000" w:rsidDel="00000000">
              <w:rPr>
                <w:rtl w:val="0"/>
              </w:rPr>
              <w:t xml:space="preserve"> komersantu digitālā brieduma novērtēšanai tagad tiek plānots piesaistīt ekspertu/ekspertus digitālā brieduma novērtēšanai, nevis ekspertu piesaiste digitālā brieduma testu izstrādei. Tāpat lūdzam sniegt informāciju par plānotajām viena eksperta piesaistes izmaksām 1 komersanta digitālā brieduma novērtēšanai, kā arī kopējam šim mērķim plānotājām izmaksām. Vienlaicīgi aicinām EM izvērtēt iespējas piesaistīt ekspertus digitālā brieduma testa/tu izstrādei, nevis veikt individuālus digitālā briedumu novērtējumus, tādējādi, mūsuprāt ir iespējami ievērojami pasākuma īstenošanas un administrēšanas izmaksu ietaupījumi, kā arī finansējuma lielākas daļas novirzīšana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digitālie brieduma testi jau tiek nodrošināti caur EDIC, īstenojot ANM reformu digitālajai transformācijai. Tad faktiski, lai nodrošinātu testu pieejamību, ir nepieciešamas pakalpojuma sniegšanas izmaksas digitālā brieduma novērtēšanai. Tāpat līdz ar programmu tiek novērsta situācija, ka ir obligāts pienākums atbalsta saņemšanai ir digitālā brieduma tests, jo tas ne tikai aizkavē atbalsta saņemšanas iespēju, bet arī kavē uzņēmumu ieguldījumus, ja tie pārzina digitalizācijas procesu nepieciešamos uzlabojumus saimnieciskajā darbībā un jau ir identificējuši kādi papildus ieguldījumi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ekspertu piesaiste digitālā brieduma novērtēšanai un citi ārpakalpojumi)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21.1.</w:t>
            </w:r>
            <w:r w:rsidR="00000000" w:rsidRPr="00000000" w:rsidDel="00000000">
              <w:rPr>
                <w:rtl w:val="0"/>
              </w:rPr>
              <w:t xml:space="preserve">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vienotās likmes saskaņošanai no vadošās iestādes puses nevaram apstiprināt šāda vienotās likmes procentuālā apmēra iekļaušanu noteikumu projektā. Tā kā vienotās likmes saskaņošanas process ir jau uzsākts, aicinām EM  iesniegt precizēto vienotās likmes aprēķina failu uz e-pastu sco@fm.gov.lv iespējami drīz šo MK noteikumu projekta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līdz 28.08. iesniegs precizēto likmes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21.1.</w:t>
            </w:r>
            <w:r w:rsidR="00000000" w:rsidRPr="00000000" w:rsidDel="00000000">
              <w:rPr>
                <w:rtl w:val="0"/>
              </w:rPr>
              <w:t xml:space="preserve">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izmaksu likmes apmēru un ietverto pamatojumu anotācijā saskaņot ar vadošo iestādi, nosūtot minēto informāciju uz sco@fm.gov.lv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Aizsūtīts uz FM 15.07.2024.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21.1.</w:t>
            </w:r>
            <w:r w:rsidR="00000000" w:rsidRPr="00000000" w:rsidDel="00000000">
              <w:rPr>
                <w:rtl w:val="0"/>
              </w:rPr>
              <w:t xml:space="preserve">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tīmekļvietņu izstrādes un uzturēšanas izmaksas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ar kādu tieši tīmekļvietņu izstrādi un uzturēšanu ir runa? Vai ar šo ir domāta LIAA mājas lapa un/vai tās konkrēta sadaļas izstrāde/business.gov.lv mājas lapas atsevišķu sadaļu pielāgošana, tad aicinām precizēt punkta redakciju, konkrēti norādot attiecīgo pielāgošanu, nevis mājas lapu izstrādi izstrādi, ņemot vērā to, ka gan LIAA mājas lapa, gan business.gov.lv lapas jau ir izstrādātas un darbojošās.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 izstrāde uz pielāgošana.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tīmekļvietņu pielāgošanas izmaksas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gala labuma guvējam ir attiecināmas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nosaukt darbības gala labuma guvēju atbalstam (precizēt 27.punkta sākuma daļu) un iekļaut 28.punktā atsauci uz atbilstošo MK noteikumu punktu par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28.</w:t>
            </w:r>
            <w:r w:rsidR="00000000" w:rsidRPr="00000000" w:rsidDel="00000000">
              <w:rPr>
                <w:rtl w:val="0"/>
              </w:rPr>
              <w:t xml:space="preserve"> punktā minēto darbību īstenošanai gala labuma guvējam ir attiecināmas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gatavo risinājumu, aparatūras, sensoru, iekārtu, programmatūras un informācijas tehnoloģiju infrastruktūras iegādes, uzstādīšanas un pielāgošanas izmaksas un ar tām saistīto konsultāciju izmaksas un ar tām saistīto konsultāciju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projektā paredzēts atbalstīt IT infrastruktūru, lūdzam EM izvērtēt, vai nav nepieciešams MK noteikumu projektā iekļaut punktu, kas nosaka gala labuma guvēja īpašumtiesības uz konkrēto objektu vai īpašumu, kurā plānots veikt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Īpašumtiesības: īpašumā, ilgtermiņa nomā, bezatlīdzības lietošanā, valdījumā, turējumā, kurām jābūt nostiprinātām Valsts vienotajā datorizētajā zemesgrāmatā,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minēt piemērus IT infrastruktūras atbalstam un ieguldījumu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30.punktu.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gatavo risinājumu, aparatūras, sensoru, iekārtu, programmatūras un informācijas tehnoloģiju infrastruktūras iegādes, licences, uzstādīšanas un pielāgošanas izmaksas un ar tām saistīto konsultāciju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Neatbalstāmās darbības un izmaksas gala labuma guvējiem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nenorādīt MKN projektā neatbalstāmās izmaksas, t.i., svītrot no punkta sākuma daļas vārdu "izmaksas". Neattiecināmās izmaksas jāplāno no privātā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Neatbalstāmās darbības gala labuma guvējiem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darbības, kas jau ir pabeigtas brīdī, kad tiek noslēgts Latvijas Investīciju un attīstības aģentūras līgums ar gala labuma guvēju un Latvijas Investīciju un attīstības aģentūras vienošanās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līgums starp Latvijas Investīciju un attīstības aģentūru un gala labuma guvēju tiek slēgts pēc tam, kad starp Latvijas Investīciju un attīstības aģentūru un sadarbības iestādi jau ir noslēgta vienošanās par projekta īstenošanu, lūdzam svītrot noteikumu projekta 32.8. apakšpunktā vārdus "un Latvijas Investīciju un attīstības aģentūras vienošanās ar sadarbības iestādi", lai nodrošinātu viennozīmīgu normas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darbības, kas jau ir pabeigtas brīdī, kad tiek noslēgts Latvijas Investīciju un attīstības aģentūras līgums ar gala labuma guvēju.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 darbības, kas jau ir pabeigtas brīdī, kad tiek noslēgts Latvijas Investīciju un attīstības aģentūras līgums ar gala labuma guvēju.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izriet, ka finansējuma saņēmējam projekta īstenošanā deleģēts uzdevums sniegt atbalstu gala labuma guvējam, lūdzam noteikumu projektā paredzēt atbalsta piešķiršanas strīdu risināšanas kārtību starp finansējuma saņēmēju (atbalsta sniedzēju) un gala labuma guvēju.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šāda norma ir lieka, jo Latvijas Investīciju un attīstības aģentūras (LIAA) lēmumu apstrīdēšana Ekonomikas ministrijā jau ir paredzēta LIAA nolikuma (MKN 857) 11.punktā.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Šajos noteikumos minētās izmaksas finansējuma saņēmējam ir attiecināmas no šo noteikumu spēkā stāšanās brīža. Šajos noteikumos minētās izmaksas gala labuma guvējiem ir attiecināmas no dienas, kad Finansējuma saņēmējs pieņēmis lēmumu par atbalsta piešķiršanu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MK noteikumu 34. un 37.punktā noteiktos nosacījumus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"Gala labuma guvējs atbalstāmās darbības var uzsākt tikai pēc atbalsta pieteikuma iesniegšanas Latvijas Investīciju un attīstības aģentūrā. Ja atbalsta pieteikums netiek apstiprināts, gala labuma guvējs visas projekta izmaksas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Šajos noteikumos minētās izmaksas finansējuma saņēmējam ir attiecināmas no projekta iesnieguma iesniegšanas dienas. Šajos noteikumos minētās izmaksas gala labuma guvējiem ir attiecināmas no dienas, kad Finansējuma saņēmējs pieņēmis lēmumu par atbalsta piešķiršanu gala labuma guvējam.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Publiskos iepirkumus finansējuma saņēmējs veic saskaņā ar normatīvajiem aktiem publisko iepirkumu jomā, īstenojot atklātu, pārredzamu, nediskriminējošu un konkurenci nodrošinošu procedūru. Projekta ietvaros ir atbalstāma vides prasību un inovatīva risinājuma integrēšana preču un pakalpojuma iepirkumos.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noteikumos normu, ka tiek atbalstīts arī sociāli atbildīgs publiskais iepirkums. Skaidrojam, ka sociāli atbildīgs publiskais iepirkums ļauj līgumslēdzējām iestādēm ņemt vērā dažādus sociālos apsvērumus, piemēram, sociālo integrāciju, darba standartus, dzimumu līdztiesību un ētisku tirdzniecību, iekļaut īpašas prasības (piemēram, sociālās vai vidiskās) kā atlases kritērijus, ja izmanto labāko cenas un kvalitātes attiecību. Sociāli atbildīgi un ētikas kritērijiem atbilstoši iepirkumi palīdz valstij izpildīt tās starptautiski uzņemtās saistības, kā arī stimulē uzņēmējus pielikt pūles, lai panāktu, ka ražošanas procesa un strādājošo darbinieku pārvaldība notiek atbildīgāk un ilgtspējīgāk.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Publiskos iepirkumus finansējuma saņēmējs veic saskaņā ar normatīvajiem aktiem publisko iepirkumu jomā, īstenojot atklātu, pārredzamu, nediskriminējošu un konkurenci nodrošinošu procedūru. Projekta ietvaros ir atbalstāma vides prasību un inovatīva risinājuma integrēšana preču un pakalpojuma iepirkumos </w:t>
            </w:r>
            <w:r w:rsidR="00000000" w:rsidRPr="00000000" w:rsidDel="00000000">
              <w:rPr>
                <w:b w:val="1"/>
                <w:rtl w:val="0"/>
              </w:rPr>
              <w:t xml:space="preserve">un, kur tas ir attiecināms, īsteno sociāli atbildīgus iepirkumus.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atbildīga iepirkuma tiesības nosaka Publiskā iepirkuma likums. Attiecīgi finansējuma saņēmējs var izvēlēties vienu no iepirkuma procedūrām, kas ir piemērotāka šo noteikumu 20.punktā minēto darbību īstenošanai. Vēršam uzmanību, ka papildus normu iestrādāšana un īstenošana kabineta noteikumos ir papildus administratīvais slogs. Finansējuma saņēmējs piemēros sociāli atbildīgu iepirkumu, ja tas 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Publiskos iepirkumus finansējuma saņēmējs veic saskaņā ar normatīvajiem aktiem publisko iepirkumu jomā, īstenojot atklātu, pārredzamu, nediskriminējošu un konkurenci nodrošinošu procedūru. Projekta ietvaros ir atbalstāma vides prasību un inovatīva risinājuma integrēšana preču un pakalpojuma iepirkumos.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40.11.3.2. neto apgrozījums (euro) no projekta rezultāta ieviešanas saimnieciskajā darbībā vai komercializēšanas;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40.11.3.2. un 40.11.3.3. apakšpunktiem vēršam EM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EM izvērtēt, vai šī pasākuma ietvaros ir lietderīgi pieprasīt informāciju pirms projekta pabeigšanas, ņemot vērā to, ka projekta rezultāti vēl netiks sasniegti;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RIS3 rādītājus KPVIS finansējuma saņēmējam būs iespējams iesniegt/noziņot tikai kopā maksājumu pieprasījumiem. Tādejādi ir nepieciešams risinājums attiecībā uz rādītājiem, par kuriem finansējuma saņēmējam ir jāatskaitās pēc noslēguma maksājuma pieprasījuma (ja nepieciešams). Piemēram, pēc noslēguma maksājuma pieprasījuma iesniegšanas finansējuma saņēmējs šādu informāciju varētu iesniegt atbildīgai iestādei 10 darbdienu laikā pēc atbildīgās iestādes pieprasījuma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kontekstā ar noteikumu projekta 28.punktā noteikto komerrcdarbības procesiem, kuru uzlabošanai pieejams atbalsts pasākuma ietvaros, aicinām EM izvērtēt, vai digitalizācijas atbalsts tiešā veidā ietekmēs/var ietekmēt neto apgrozījumu un eksportu, par ko finansējuma saņēmējam izvirzāmas prasības atskaitīties RIS3 rādītāju ietvaros, piemēram, ieguldījumi administratīvo procesu vai personālvadības procesu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veikt precizējumus noteikumu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datus uzkrāj 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40.11.5. katrā no Viedās specializācijas stratēģijas (turpmāk - RIS3) jomām sadalījumā pa gala labuma guvēju veidiem šādus RIS3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atkārtoti izvērtēt, vai pasākuma ietvaros ir plānoti ieguldījumi, kas paredz P&amp;A izmaksas komersantiem, pamatojoties uz ko atbilstoši pasākuma specifikai būtu nepieciešams noteikt RIS3 rādītājus. Vēršam uzmanību, ka, piemēram, MKN norādītās plānotās izmaksas, kas saistītas ar gatavo risinājumu, aparatūras, sensoru, iekārtu, programmatūras un informācijas tehnoloģiju infrastruktūras iegādes, uzstādīšanas un pielāgošanu (28.1.apakšpunkts) nav attiecināmas uz P&amp;A izmaksām. Vienlaicīgi gatavi iegādāti IT risinājumi un pakalpojumi nav uzskatāmi par jauniem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pasākuma specifikai ir pārskatāms RIS3 rādītāju loks. Vēršam uzmanību, ka fundamentālie pētījumi (40.11.5.15.) neatbilst ne pasākuma specifikai, ne tā mērķim. Gadījumā, ja MKN projektā RIS3 rādītāji iekļauti netiek, tad aicinām EM anotācijā īsi paskaidrot to neiekļaušanas iemeslu, piemēram, norādot, kāpēc nav lietderīgi tajos noteikt un uzkrāt RIS3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41.12.3. atbalstīto gala labuma guvēju skaits katrā no Viedās specializācijas stratēģijas (turpmāk – RIS3) jomām sadalījumā pa gala labuma guvēju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 Eiropas Parlamenta un Padomes 2021. gada 24. jūnija Regulas (ES) Nr. 2021/1058 par Eiropas Reģionālās attīstības fondu un Kohēzijas fondu 7. panta 1. punktā noteiktajās nozarēs un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regulas punktā noteiktas arī citas neatbalstāmās nozares/darbības.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skaidrojums pārcelts uz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Atbildīgā iestāde izstrādā digitālās intensitātes padziļināta novērtējuma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 noteikumos galvenos nosacījumus, kas tiks iekļauti 49.punktā minētajā metodikā un kas jāsasniedz, lai gala saņēmējs varētu saņemt atbalstu, piemēram, uzlabots atkārtots novērtējums (digitālā brieduma tests).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metodika tiks izstrādāta, ņemot vērā šo noteikumu 2.3. apakšpunkta definīciju un anotācijā iekļauto skaidrojumu par digitālās intensitātes novērtējumu. Šo novērtējumu veiks LIAA pie atbalsta pieteikuma saņemšanas, izstrādājot atbalsta komersantiem www. business.gov.lv rīku pie atbalsta pieteikuma sagatavošanas.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komercdarbības atbalsts tiek piešķirts saskaņā ar Komisijas regulu Nr. 2023/2831, maksimālā atbalsta intensitāte gala labuma guvējam no projekta kopējām izmaksām nevar pārsniegt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 noteikumu projektā paredzēt atbalsta likmes diferencēšanu atbilstoši komersanta lielumam (mazais, vidējais komersants, mazā vidējā kapitalizācijas sabiedrība, vidējas kapitalizācijas sabiedrība). Ja netiek paredzēta komercdarbības atbalsta likmes diferencēšana, tad noteikumu projekta sākotnējā novērtējuma ziņojumā jāietver paskaidrojums par šādu nosacījumu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Maksimālā atbalsta intensitāte no projekta kopējām attiecināmajām izmaksām nevar pārsniegt: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komercdarbības atbalsts tiek piešķirts saskaņā ar Komisijas regulu Nr. 2023/2831, maksimālā atbalsta intensitāte gala labuma guvējam no projekta kopējām izmaksām nevar pārsniegt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atbalsta programmas ietvaros visiem gala labuma guvējiem atbalsts tiek piešķirts saskaņā ar Komisijas regulu Nr. 2023/2831, lūdzam precizēt noteikumu projekta 54.punkta redakciju, to izsakot šādā redakcijā: "Maksimālā atbalsta intensitāte gala labuma guvējam no projekta kopējām izmaksām nevar pārsniegt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Maksimālā atbalsta intensitāte no projekta kopējām attiecināmajām izmaksām nevar pārsniegt: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pirms de minimis atbalsta piešķiršanas gala labuma guvējam pārbauda, vai plānotais de minimis atbalsts kopā ar iepriekšējos trijos gados no atbalsta piešķiršanas dienas saņemto de minimis atbalstu viena vienota uzņēmuma līmenī nepārsniedz Komisijas regulas Nr. 2023/2831 3. panta 2. punktā noteikto maksimālo de minimis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2023.gada 13.decembra regulas Nr.2023/2831 par Līguma par Eiropas Savienības darbību 107. un 108.panta piemērošanu de minimis atbalstam, 3.panta 2.punktā noteiktajam, atbalsta sniedzējam ir pienākums pārbaudīt piešķirtā, nevis faktiski saņemtā atbalsta apjomu. Lai nodrošinātu atbilstību Komisijas regulas Nr.2023/2831 3.panta 2.punktam, aicinām noteikumu projekta 57.punktā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pirms de minimis atbalsta piešķiršanas gala labuma guvējam pārbauda, vai plānotais de minimis atbalsts kopā ar iepriekšējos trijos gados no atbalsta piešķiršanas dienas piešķirto de minimis atbalstu viena vienota uzņēmuma līmenī nepārsniedz Komisijas regulas Nr. 2023/2831 3. panta 2. punktā noteikto maksimālo de minimis 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ievērojot Komisijas regulas Nr. 2023/2831 5. panta 1. un 3. punktu, de minimis atbalstu drīkst kumulēt ar citu de minimis atbalstu līdz Komisijas regulas Nr. 2023/2831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5.pantam, lūdzam precizēt de minimis atbalsta kumulācijas normu, izsakot to piedāvātajā redakcijā. Vienlaikus lūdzam pārskatīt piedāvāto redakciju, vai tā pēc būtības atbilst programmas specifikai, t.sk., attiecībā uz programmā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Finansējuma saņēmējs un gala labuma guvējs nodrošina informācijas pieejamību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uzglabā visus ar de minimis atbalsta piešķiršanu saistītos datus 10 (desmit) gadus, sākot no dienas, kurā saskaņā ar šajos noteikumos noteikto piešķirts pēdējais de minimis atbalsts, savukārt, gala labuma guvējs uzglabā visus ar de minimis atbalsta piešķiršanu saistītos datus 10 (desmit) gadus no de minimis atbalsta piešķiršanas dienas, lūdzam attiecīgi precizēt noteikumu projektā iekļauto 61.punktu.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Atbilstoši Komisijas regulas Nr. 2023/2831 6. panta 3. un 7. punktam informācijas pieejamību nodrošina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pārkāptas komercdarbības atbalsta kontroles normas, kas izriet no Komisijas regulas Nr. 2023/2831,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nelikumīgs komercdarbības atbalsts ir tikai tāds, kas sniegts pārkāpjot attiecīgo regulu nosacījumus, lūdzam precizēt noteikumu 63.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pārkāpti Komisijas regulas Nr. 2023/2831 nosacījumi, gala labuma guvējam ir pienākums atmaksāt atbalsta sniedzējam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tiek pārkāpti Komisijas regulas Nr. 2023/2831 nosacījumi, gala labuma guvējam ir pienākums atmaksāt atbalsta sniedzējam projekta ietvaros saņemto nelikumīgo de minimis atbalstu kopā ar procentiem no līdzekļiem, kas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tā kā finansējuma saņēmējs ir valsts budžeta iestāde un noteikumu projektā noteikts, ka projekta izmaksas ir attiecināms pirms vienošanās par projekta īstenošanu noslēgšanas, t.i., izmaksas paredzētas attiecināt no noteikumu spēkā stāšanās dienas,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noteikumu projektam jāpievieno MK sēdes protokollēmuma projekts, kas nosaka finanšu plūsmas pirms projekta apstiprināšanas nodrošināšanas nosacījumus, kā arī pienākumu un atbildību atbildīgajai iestādei gadījumos, ja pirms projekta apstiprināšanas radušās izmaksas nav attiecināmas no ES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izmaksas finansējuma saņēmējam ir attiecināmas sākot no projekta iesniegšanas. Šāds nosacījums iekļauts, lai finansējuma saņēmējs pēc projekta iesniegšanas varētu sākt gatavot iekšējās procedūras un pielāgot www.business.gov.lv, veidojot pieteikumu formu. Ekonomikas ministrija, ņemot vērā iepriekšējo pieredzi ar slēgtajām atlases kārtām (1.2.1.4., 1.2.3.1.), kur finansējuma saņēmējs ir LIAA, kas ir valsts iestāde, nesaskata risku izmaksām, kas nav attiecināmas no ES fondu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anotācijā un Mk noteikumu projektā, bet EM ieskatā, atbilstoši iepriekšejai praksei 1.2.1.4. un 1.2.3.1. regulējošajiem normatīvajiem aktiem un to protokollēmumu, nav nepieciešams papildināt protokollēmumu par finanšu plūsmu un pienākumiem.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saņēmējs ir valsts budžeta iestāde un MK noteikumu projektā noteikts, ka projekta izmaksas ir attiecināms pirms līguma vai vienošanās noslēgšanas, t.i., izmaksas paredzētas attiecināt no MK noteikumu spēkā stāšanās dienas,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MK noteikumu projektam jāpievieno MK sēdes protokollēmuma projekts, kas nosaka finanšu plūsmas pirms projekta apstiprināšanas nodrošināšanas nosacījumus, kā arī pienākumu un atbildību atbildīgajai iestādei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būs Latvijas Investīciju un attīstības aģentūra, un projekta ietvaros tiks veidota slēgtā atlase, Ekonomikas ministrija kā atbildīgā iestāde neparedz, ka varētu būt izmaksas, kas nav attiecināmas no ES fondu līdzekļiem. LIAA ir pieredze gan 1.2.3.1., 1.2.1.4., 1.2.3.6. 1. kārtas pasākuma īstenošanā, šāds nosacījums nav līdz šim bijis.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Ministru kabineta 2023. gada 13. jūlija noteikumu Nr. 408 "Kārtība, kādā Eiropas Savienības fondu vadībā iesaistītās institūcijas nodrošina šo fondu ieviešanu 2021.–2027. gada plānošanas periodā" 3. pielikumam, lūdzam precizēt anotācijas 1.3. sadaļas "Pašreizējā situācija, problēmas un risinājumi" apakšsadaļas "Risinājuma apraksts" 8. punktā norādīto tabulu, papildinot to ar informāciju, ka, veicot pārbaudi par attiecīgās personas sodāmību Iekšlietu ministrijas Informācijas centra pārziņā esošajā valsts informācijas sistēmā “Sodu reģistrs” saskaņā ar zemāk norādītajām normām, tiks pārbaudītas arī šādas tiesību akta normas - "177.</w:t>
            </w:r>
            <w:r w:rsidR="00000000" w:rsidRPr="00000000" w:rsidDel="00000000">
              <w:rPr>
                <w:vertAlign w:val="superscript"/>
                <w:rtl w:val="0"/>
              </w:rPr>
              <w:t xml:space="preserve">1</w:t>
            </w:r>
            <w:r w:rsidR="00000000" w:rsidRPr="00000000" w:rsidDel="00000000">
              <w:rPr>
                <w:rtl w:val="0"/>
              </w:rPr>
              <w:t xml:space="preserve"> pants. Krāpšana automatizētā datu apstrādes sistēmā, 178. pants. Apdrošināšanas krāpšana, 190.</w:t>
            </w:r>
            <w:r w:rsidR="00000000" w:rsidRPr="00000000" w:rsidDel="00000000">
              <w:rPr>
                <w:vertAlign w:val="superscript"/>
                <w:rtl w:val="0"/>
              </w:rPr>
              <w:t xml:space="preserve">1</w:t>
            </w:r>
            <w:r w:rsidR="00000000" w:rsidRPr="00000000" w:rsidDel="00000000">
              <w:rPr>
                <w:rtl w:val="0"/>
              </w:rPr>
              <w:t xml:space="preserve"> pants. Preču un vielu, kuru aprite ir aizliegta vai speciāli reglamentēta, pārvietošana pāri Latvijas Republikas valsts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2024.gada 4. jūlija telefonsarunu ar iebilduma autori A.Rudzīti, skaidrojam, ka uz atbalstu digitālo procesu komercializācijai iebildumā minēti punkti par krāpšanu automatizētā daru apstrādes sistēmā, apdrošināšanas krāpšanu un preču un vielu, kuru aprite ir aizliegta vai speciāli reglamentēta, pārvietošana pāri Latvijas Republikas valsts robeža, nav attiecināmi.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vienlaikus ir norādīts, projekta iesniedzējs veic izmaksu un ieguvumu analīzi atbilstoši sadarbības iestādes metodiskajiem materiāliem un pievieno gan kā stratēģijas pielikumu, gan kā projekta iesnieguma pielikumu (tai skaitā noteikumu projekta 18.punktā). Lūdzam precizēt vai papildināt ar skaidrojumu,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sadaļā "Vai ir izvērtēts prasību un izmaksu samērīgums pret ieguvumiem?" lūdzam norādīt "Nē", jo "Jā" norāda, ja tas ir izdarīts anotācijas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8.2.sadaļā norādītā informācija neatbilst LM izstrādāto Vadlīniju horizontālā principa “Vienlīdzība, iekļaušana, nediskriminācija un pamattiesību ievērošana” īstenošanai un uzraudzībai (2021-2027)” 1.pielikumam, kur norādīta netieša ietekme, kas nozīmē arī HP rādītāja piemērošanu pasākuma ietvaros un attiecīgas informācijas uzkrāšanas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izmaiņas pret vadlīnijām saistītas ar pasākuma koncepta maiņu, lūdzam tās atsevišķi saskaņot ar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1.2.2. specifiskā atbalsta mērķa “Izmantot digitalizācijas priekšrocības uzņēmējdarbības attīstībai” 1.2.2.1. pasākuma “Atbalsts procesu digitalizācijai komercdarbībā”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punktu, kas nosaka finanšu plūsmas pirms projekta apstiprināšanas nodrošināšanas nosacījumus, kā arī pienākumu un atbildību atbildīgajai iestādei gadījumos, ja pirms projekta apstiprināšanas radušās izmaksas nav attiecināmas no ES fondu līdzekļiem. Piemērs apskatāms ES KPP 2021.–2027. gadam 1.1.1. specifiskā atbalsta mērķa "Pētniecības un inovāciju kapacitātes stiprināšana un progresīvu tehnoloģiju ieviešana  kopējā P&amp;A sistēmā" 1.1.1.1. pasākuma "Zinātnes politikas ieviešana, vadība un kapacitātes stiprināšana" īstenošanas noteikumiem pievienotajā protokollēmumā TAP 23-TA-818.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izmaksas finansējuma saņēmējam ir attiecināmas sākot no projekta iesniegšanas. Šāds nosacījums iekļauts, lai finansējuma saņēmējs pēc projekta iesniegšanas varētu sākt gatavot iekšējās procedūras un pielāgot www.business.gov.lv, veidojot pieteikumu formu. Ekonomikas ministrija, ņemot vērā iepriekšējo pieredzi ar slēgtajām atlases kārtām (1.2.1.4., 1.2.3.1.), kur finansējuma saņēmējs ir LIAA, kas ir valsts iestāde, nesaskata risku izmaksām, kas nav attiecināmas no ES fondu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anotācijā un Mk noteikumu projektā, bet EM ieskatā, atbilstoši iepriekšejai praksei 1.2.1.4. un 1.2.3.1. regulējošajiem normatīvajiem aktiem un to protokollēmumu, nav nepieciešams papildināt protokollēmumu par finanšu plūsmu un pienākumiem.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1.2.2. specifiskā atbalsta mērķa “Izmantot digitalizācijas priekšrocības uzņēmējdarbības attīstībai” 1.2.2.1. pasākuma “Atbalsts procesu digitalizācijai komercdarbībā”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 apakšpunktu pirms vārda "izmaksu" ar vārdu "vienkāršoto", lai nodrošinātu atbilstību Eiropas Savienības fondu 2021.—2027. gada plānošanas perioda vadības likuma 19. panta 6. punktā ietvertajam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27 613 228 euro (tostarp elastības finansējums 4 355 304 euro), tai skaitā Eiropas Reģionālās attīstības fonda (turpmāk – ERAF) finansējums 23 471 243 euro (tostarp elastības finansējums 3 702 009 euro) un valsts budžeta līdzfinansējums 4 141 985 euro (tostarp elastības finansējums 653 295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skaidrojumu izziņas 2.punktā, ka finansējuma saņēmējs būs LIAA, attiecīgi nav iespējas nodrošināt privāto finansējumu, vienlaikus grantos ir paredzēta noteikta intensitāte, kas attiecīgi nosaka, ka gala labuma guvējiem ir jānodrošina arī privātais līdzfinansējums, aicinām EM noteikt/piesaistīt pasākumam rezultāta radītāju RCR 02 'Publisko atbalstu papildinošās privātās investīcijas (tai skaitā: granti, finanšu instrumenti)', kas nodrošinās piesaistītā privāta līdzfinansējuma uzskaiti pasākumā ietvaros un vēlākā posmā ļaus parādīt digitalizācijas atbalsta pienesumu ekonomikai.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skatīt iesniegtos rādītāja pases papildinājumus.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27 613 228 euro (tostarp elastības finansējums 4 355 304 euro), tai skaitā Eiropas Reģionālās attīstības fonda (turpmāk – ERAF) finansējums 23 471 243 euro (tostarp elastības finansējums 3 702 009 euro) un valsts budžeta līdzfinansējums 4 141 985 euro (tostarp elastības finansējums 653 295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nefinansiālu atbalstu saņēmušie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anotācijas 4.punktā "Sasniedzamie rādītāji" norādīts rādītājs "nefinansiālu atbalstu saņēmušie komersanti - 300", savukārt noteikumu projektā norādīts "nefinansiālu atbalstu saņēmušie komersanti", lūdzam precizēt, noteikumu projektā norādot sasniedzamo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nefinansiālu atbalstu saņēmušie komersanti - 300;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komercdarbības atbalsta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noteikumu projekta 20.5.apakšpunktā paredzēto darbību, ņemot vērā, ka pēc būtības tas ir projekta iesniedzēja pienākums un iekļaujas noteikumu projekta 20.1.apakšpunktā definētajā darbībā - projekta vadība un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īstenošanai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21.3.apakšpunktā ir paredzētas izmaksas, kas attiecināmas uz noteikumu projekta 20.3.apakšpunktā definēto atbalstāmo darbību, lūdzam noteikumu projekta 21.punktu papildināt ar atsauci uz 20.3.apakšpunktu vai precizēt skaidrojumu 20.3.apakšpunktā.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21.2. apakšpunktā ir noteikti ārpakalpojumi konkrētu darbu izpildei. 20.2. apakšpunktā ir iekļautas aktivitātes, kas materiāli un pakalpojumi, nevis tikai ārpakalpojums kā personāls.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apakšpunktā minēto darbību īstenošanai attiecināmas šādas 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21.1. un  21.2.apakšpunktā minētajām personāla izmaksām tiek piemērota vienotā likme 20 procentu apmērā no pārējām tiešajām attiecināmajām izmaksām, neieskaitot personāla izmaksas, aicinām neizdalīt personāla izmaksas projekta vadības personālam un projekta īstenošanas personālam, bet paredzēt vienu izmaksu pozīciju jeb noteikumu projekta apakšpunktu "Projekta vadības un īstenošanas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vadības un īstenošanas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ekspertu piesaiste digitālā brieduma novērtēšanai un citi ārpakalpojumi)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atbilde izziņas 4.punktā joprojām nepaskaidro, kāpēc un kādos gadījumos būs nepieciešama starptautiski atzīta eksperta piesaiste digitālā brieduma novērtēšanai 1.2.2.1.pasākuma ietvaros, pretēji Ekonomikas ministrijas sniegtajam skaidrojumam, ka digitālā brieduma testi nav nosakāmi kā obligāti, jo ir komersanti, kas pārzina digitalizācijas procesu nepieciešamos uzlabojumus saimnieciskajā darbībā un jau ir identificējuši kādi papildus ieguldījumi nepieciešami. Aicinām Ekonomikas ministriju ar šādu informāciju papildināt noteikumu projekta anotāciju, kā arī sniegt informāciju par ar ekspertu piesaisti plānotajām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uzņēmuma digitālā brieduma novērtēšanai piesaista Eiropas digitālās inovācijas centru (turpmāk - EDIC), noslēdzot sadarbības līgumu, vai nodrošinot starptautisku atzītu ekspertu piesaisti, veicot iepirkuma procedūru, ja līdz 2025. gada septembrim EDIC nav saņemts Eiropas Komisijas lēmums par darbības pagarināšanu vai jauna sadarbības līguma noslēgšanu programmas “Digitālā Eiropa”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ekspertu piesaiste digitālā brieduma novērtēšanai un citi ārpakalpojumi)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nepieciešamo ārpakalpojumu (piemēram, juridiskie pakalpojumi, mārketinga materiālu izgatavošana, mārketinga aktivitātes un citi ārpakalpojumi) izmaksas un piegāžu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attiecināmo izmaksu definējumu, lūdzam noteikumu projektā vai tā anotācijā skaidrot, kādas piegāžu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svītrojot piegāžu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ekspertu piesaiste digitālā brieduma novērtēšanai un citi ārpakalpojumi)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attiecināmas netiešās projekta īstenošanas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norādītājām tiešajām attiecināmajām personāla izmaksām saskaņā ar regulas Nr. 2021/1060 54. panta b)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ka netiešās attiecināmās izmaksas ir attiecināmas arī noteikumu projekta 20.3.apakšpunktā noteikto atbalstāmo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attiecināmas netiešās projekta īstenošanas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apakšpunktā norādītājām tiešajām attiecināmajām personāla izmaksām saskaņā ar regulas Nr. 2021/1060 54. panta b)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digitālās brieduma novērtējuma  izmaksas – sākotnējā un otrreizējā digitālā brieduma testa veikšanas, digitālās ceļa kartes un atzinuma izstrādes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uzlabots otrreizējais digitālā brieduma testa rezultāts būs kā priekšnoteikums, lai gala labuma guvējs varētu saņemt atbalstu. Nepieciešamības gadījumā lūdzam attiecīgi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Otrreizējā digitālā brieduma testa rezultāts nebūs priekšnoteikums granta saņemšanai 1.2.2.1. pasākumā. Vienlaikus šo testu var veikt arī, lai 2.2.1.2.i investīcijas ietvaros saņemtu grantu atbalstu. Tāpat uzņēmums 1.2.2.1. pasākumā var veikt tikai testus – sākotnējo un otrreizējo, nepretendējot uz granta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digitālās brieduma novērtējuma  izmaksas – sākotnējā un otrreizējā digitālā brieduma testa veikšanas, digitālās ceļa kartes un atzinuma izstrādes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projekta īstenošanas laikā rodas izmaksas, kas neatbilst šiem noteikumiem vai pārsniedz pieejamo attiecināmo finansējumu, gala labuma guvējs apņemas tās segt no paša rīcībā esošajiem līdzekļiem, kas nav saistīti ar publisku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 arī finansējuma saņēmējs uzņemas segt sadārdzinājumu.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Ekonomikas ministrijai nav skaidrs Finanšu ministrijas priekšlikums par to, kas ir domāts ar sadārdzinājumu finansējuma saņēmēja, kas ir Latvijas Investīciju un attīstības aģentūra (LIAA), pusē. Ja ir šāda nepieciešamība, lūdzam sniegt skaidrojumu, kas ir saprotams ar sadārdzinājumu LIAA pusē.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projekta īstenošanas laikā rodas izmaksas, kas neatbilst šiem noteikumiem vai pārsniedz pieejamo attiecināmo finansējumu, gala labuma guvējs apņemas tās segt no paša rīcībā esošajiem līdzekļiem, kas nav saistīti ar publisku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Gala labuma guvējs piekrīt, ka par to iegūtā informācija saskaņā ar šo noteikumu </w:t>
            </w:r>
            <w:r w:rsidR="00000000" w:rsidRPr="00000000" w:rsidDel="00000000">
              <w:rPr>
                <w:b w:val="1"/>
                <w:rtl w:val="0"/>
              </w:rPr>
              <w:t xml:space="preserve">X </w:t>
            </w:r>
            <w:r w:rsidR="00000000" w:rsidRPr="00000000" w:rsidDel="00000000">
              <w:rPr>
                <w:rtl w:val="0"/>
              </w:rPr>
              <w:t xml:space="preserve">punktu tiek izmantota analītikas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36.punktu un šajā punktā izteikto gala labuma guvēja piekrišanu iekļaut projektu iesniegumu atlases nolikumā, ņemot vērā, ka noteikumu projektā neiekļauj normas, kurām nepieciešama turpmāka darbība ar subjekta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norma tomēr tiek saglabāta, lūdzam atšifrēt noteikumu projekta 36.punktā ietverto norādi uz punkta numerāciju “X”.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gala labuma guvēja iegūtā informācija saskaņā ar šo noteikumu </w:t>
            </w:r>
            <w:r w:rsidR="00000000" w:rsidRPr="00000000" w:rsidDel="00000000">
              <w:rPr>
                <w:rtl w:val="0"/>
              </w:rPr>
              <w:t xml:space="preserve">42.</w:t>
            </w:r>
            <w:r w:rsidR="00000000" w:rsidRPr="00000000" w:rsidDel="00000000">
              <w:rPr>
                <w:rtl w:val="0"/>
              </w:rPr>
              <w:t xml:space="preserve"> punktu tiek izmantota analītikas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Gala labuma guvējs piekrīt, ka par to iegūtā informācija saskaņā ar šo noteikumu </w:t>
            </w:r>
            <w:r w:rsidR="00000000" w:rsidRPr="00000000" w:rsidDel="00000000">
              <w:rPr>
                <w:b w:val="1"/>
                <w:rtl w:val="0"/>
              </w:rPr>
              <w:t xml:space="preserve">X </w:t>
            </w:r>
            <w:r w:rsidR="00000000" w:rsidRPr="00000000" w:rsidDel="00000000">
              <w:rPr>
                <w:rtl w:val="0"/>
              </w:rPr>
              <w:t xml:space="preserve">punktu tiek izmantota analītikas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36. punktu. Norādām, ka normā pietrūkst atsauces uz projekta konkrētu punktu. Tāpat, vēršam uzmanību, ka  piekrišana ir brīvi sniegta izvēle, kuru nevar nostiprināt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gala labuma guvēja iegūtā informācija saskaņā ar šo noteikumu </w:t>
            </w:r>
            <w:r w:rsidR="00000000" w:rsidRPr="00000000" w:rsidDel="00000000">
              <w:rPr>
                <w:rtl w:val="0"/>
              </w:rPr>
              <w:t xml:space="preserve">42.</w:t>
            </w:r>
            <w:r w:rsidR="00000000" w:rsidRPr="00000000" w:rsidDel="00000000">
              <w:rPr>
                <w:rtl w:val="0"/>
              </w:rPr>
              <w:t xml:space="preserve"> punktu tiek izmantota analītikas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projekta īstenošanu plāno saskaņā ar vienošanos par projekta īstenošanu, kas noslēgta starp finansējuma saņēmēju un sadarbības iestādi – Centrālo finanšu un līgumu aģentūru,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36.punktā vārdus "Centrālo finanšu un līgumu aģentūru", jo sadarbības iestāde ir noteikta Eiropas Savienības fondu 2021.—2027. gada plānošanas perioda vadības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projekta īstenošanu plāno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projekta īstenošanu plāno saskaņā ar vienošanos par projekta īstenošanu, kas noslēgta starp finansējuma saņēmēju un sadarbības iestādi,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Šajos noteikumos minētās izmaksas finansējuma saņēmējam ir attiecināmas no šo noteikumu spēkā stāšanās brīža. Šajos noteikumos minētās izmaksas gala labuma guvējiem ir attiecināmas no dienas, kad Finansējuma saņēmējs pieņēmis lēmumu par atbalsta piešķiršanu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34.punktā noteikts, ka gala labuma guvējs atbalstāmās darbības var uzsākt pēc atbalsta pieteikuma iesniegšanas Latvijas Investīciju un attīstības aģentūrā, lai nodrošinātu skaidru normatīvā regulējuma piemērošanu un veicinātu izpratni gala saņēmēju līmenī, lūdzam anotācijā skaidrot, kā tiek nodrošināta atbilstība noteikumu projekta 34. un 37.punktam, t.i., darbības var uzsākt pēc atbalsta pieteikuma iesniegšanas, bet izmaksas ir attiecināmas tikai no lēmuma par atbalsta piešķiršanu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"Gala labuma guvējs atbalstāmās darbības var uzsākt tikai pēc atbalsta pieteikuma iesniegšanas Latvijas Investīciju un attīstības aģentūrā. Ja atbalsta pieteikums netiek apstiprināts, gala labuma guvējs visas projekta izmaksas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Šajos noteikumos minētās izmaksas finansējuma saņēmējam ir attiecināmas no projekta iesnieguma iesniegšanas dienas. Šajos noteikumos minētās izmaksas gala labuma guvējiem ir attiecināmas no dienas, kad Finansējuma saņēmējs pieņēmis lēmumu par atbalsta piešķiršanu gala labuma guvējam.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Šajos noteikumos minētās izmaksas finansējuma saņēmējam ir attiecināmas no projekta iesniegšanas dienas. Šajos noteikumos minētās izmaksas gala labuma guvējiem ir attiecināmas no dienas, kad Finansējuma saņēmējs pieņēmis lēmumu par atbalsta piešķiršanu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attiecināmajām izmaksām projekta ietvaros, lūdzam precizēt noteikumu projekta 38.punktu, jo vēršam uzmanību, ka atbilstoši Eiropas Savienības fondu 2021.—2027. gada plānošanas perioda vadības likuma 1.panta 8.punktam projekts ir projekta iesniegums, kas atbilst projektu iesniegumu vērtēšanas kritērijiem un ko apstiprinājusi sadarbības iestāde, un atbilstoši šā likuma 1.panta 3.punktam finansējuma saņēmējs ir projekta iesniedzējs, kura projekta iesniegums ir apstiprināts. Lūdzam atbilstoši precizēt noteikumu projekta 38.punkta pirmo teikumu, papildinot aiz vārda “projekta” ar vārdu “iesnieguma”.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Šajos noteikumos minētās izmaksas finansējuma saņēmējam ir attiecināmas no projekta iesnieguma iesniegšanas dienas. Šajos noteikumos minētās izmaksas gala labuma guvējiem ir attiecināmas no dienas, kad Finansējuma saņēmējs pieņēmis lēmumu par atbalsta piešķiršanu gala labuma guvējam.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Publiskos iepirkumus finansējuma saņēmējs veic saskaņā ar normatīvajiem aktiem publisko iepirkumu jomā, īstenojot atklātu, pārredzamu, nediskriminējošu un konkurenci nodrošinošu procedūru. Projekta ietvaros ir atbalstāma vides prasību un inovatīva risinājuma integrēšana preču un pakalpojuma iepirkumos.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izskatīt iespēju MK noteikumos noteikt arī sociāli atbildīga iepirkuma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atbildīga iepirkuma tiesības nosaka Publiskā iepirkuma likums. Attiecīgi finansējuma saņēmējs var izvēlēties vienu no iepirkuma procedūrām, kas ir piemērotāka šo noteikumu 20.punktā minēto darbību īstenošanai. Vēršam uzmanību, ka papildus normu iestrādāšana un īstenošana kabineta noteikumos ir papildus administratīvais slogs. Finansējuma saņēmējs piemēros sociāli atbildīgu iepirkumu, ja tas 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Publiskos iepirkumus finansējuma saņēmējs veic saskaņā ar normatīvajiem aktiem publisko iepirkumu jomā, īstenojot atklātu, pārredzamu, nediskriminējošu un konkurenci nodrošinošu procedūru. Projekta ietvaros ir atbalstāma vides prasību un inovatīva risinājuma integrēšana preču un pakalpojuma iepirkumos.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noteikumu projektu ar normu, ka finansējuma saņēmējs uzņemas segt sadārdzinājumu. Skaidrojam, ka finansējuma saņēmējs no saviem līdzekļiem sedz projekta īstenošanas gaitā radušos sadārdzinājumu un citas papildu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finansējuma saņēmēja darbiniekiem, kas iesaistīti gala labuma guvēju pieteikumu vērtēšanas procesā, parakstīt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esošo objektivitātes, konfidencialitātes un interešu konflikta neesības apliecinājumu, ka nepiedalīsies gala labuma guvēju pieteikumu izvērtēšanā interešu konflikta situācijā. Apliecinājumu paraksta pirms gala labuma guvēju pieteikumu izskatīšanas un vērtēšanas. Apliecinājumu finansējuma saņēmējs glabā atbilstoši Regulas Nr. 2018/1046 132. pantam un šo noteikumu </w:t>
            </w:r>
            <w:r w:rsidR="00000000" w:rsidRPr="00000000" w:rsidDel="00000000">
              <w:rPr>
                <w:rtl w:val="0"/>
              </w:rPr>
              <w:t xml:space="preserve">61.</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nosakot viennozīmīgu apliecinājuma glabāšanas termiņu. Saskaņā ar Regulas Nr. 2018/1046 132. panta 1. punktu saņēmēji glabā grāmatvedības uzskaiti un apliecinošos dokumentus piecus gadus pēc atlikuma maksājuma saņemšanas vai, ja šāda maksājuma nav, pēc darījuma. Savukārt, šī projekta 61. punktā noteikts, ka finansējuma saņēmējs un gala labuma guvējs nodrošina informācijas pieejamību 10 gadus, skaitot no atbalsta piešķiršanas dienas. Ņemot vērā, ka saskaņā ar projekta 40.9. apakšpunktu apliecinājumu finansējuma saņēmējs glabā atbilstoši Regulas Nr. 2018/1046 132. pantam un šo noteikumu 61. punktam, kuri nosaka atšķirīgus glabāšanas termiņus, viennozīmīgai izpratnei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41.10. finansējuma saņēmēja darbiniekiem, kas iesaistīti gala labuma guvēju pieteikumu vērtēšanas procesā, parakstīt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esošo objektivitātes, konfidencialitātes un interešu konflikta neesības apliecinājumu, ka nepiedalīsies gala labuma guvēju pieteikumu izvērtēšanā interešu konflikta situācijā. Apliecinājumu paraksta pirms gala labuma guvēju pieteikumu izskatīšanas un vērtēšanas. Apliecinājumu finansējuma saņēmējs glabā atbilstoši šo noteikumu </w:t>
            </w:r>
            <w:r w:rsidR="00000000" w:rsidRPr="00000000" w:rsidDel="00000000">
              <w:rPr>
                <w:rtl w:val="0"/>
              </w:rPr>
              <w:t xml:space="preserve">61.1.</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40.10.7. mehānismu dubultā finansējuma novēršanai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40.10.7.apakšpunktu, ka finansējuma saņēmējs nodrošina ne tikai nepārklāšanās principu ar citiem valsts un ārvalstu finanšu atbalsta instrumentiem, bet nodrošina arī dubultā finansējuma neiestāšanos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dubultā finansējuma neiestāšanās nodrošināma ne tikai attiecībā uz citiem finanšu atbalsta instrumentiem, bet arī konkrētā projekta īstenošanai piešķirtā finansējuma ietvaros darbības nedrīkst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41.11.7. mehānismu dubultā finansējuma novēršanai projekta ietvaros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izstrādāt rīku www.business.gov.lv pie gala labuma guvēja atbalsta pieteikuma iesniegšanas gala labuma guvēja digitālās intensitātes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rīks www.business.gov.lv palīdzēs gala labuma guvēja digitālās intensitātes novērtēšanai. Papildus norādām, ka rīks www.business.gov.lv jau šobrīd ir funkcionējošs, attiecīgi lūdzam anotācijā skaidrot, kas tieši finansējuma saņēmējam rīkā www.business.gov.lv ir jāizstrādā.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izstrādāt rīku www.business.gov.lv pie gala labuma guvēja atbalsta pieteikuma iesniegšanas gala labuma guvēja digitālās intensitātes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Gala labuma guvēju pieteikumu izvērtēšanas procesā iesaistītie finansējuma saņēmēja darbinieki paraksta objektivitātes, konfidencialitātes un interešu konflikta neesamības apliecinājumu, ka interešu konflikta situācijā nepiedalīsies gala labuma guvēju pieteikumu izvērtēšanā. Apliecinājumu paraksta pirms gala labuma guvēju pieteikumu izskatīšanas un vērtēšanas. Finansējuma saņēmējs apliecinājumu glabā atbilstoši Regulas Nr. 2018/1046 132. pantam un šo noteikumu </w:t>
            </w:r>
            <w:r w:rsidR="00000000" w:rsidRPr="00000000" w:rsidDel="00000000">
              <w:rPr>
                <w:rtl w:val="0"/>
              </w:rPr>
              <w:t xml:space="preserve">61.</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41.punktu, ņemot vērā, ka minētā norma tiek noteikta 40.9.apakšpunktā.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44.9.1. darbībām, kas saistītas ar fosilo kurināmo, tostarp tā pakārtotu izmantošanu, izņemot projektus elektroenerģijas vai siltuma ražošanai,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pārlikt atsauci uz Eiropas Komisijas paziņojumu "Tehniskie norādījumi par principa "nenodarīt būtisku kaitējumu" piemērošanu saskaņā ar Atveseļošanas un noturības mehānisma regulu" uz anotāciju, jo šie ir ERAF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pārceļot uz anotāciju visu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Pasākuma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definēt pievienotā vērtības nodokļa attiecināmības nosacījumus finansējuma saņēmējam un gala labuma guvējam, ņemto vērā noteikumu projekta 31., 55. un 56.puktā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normu zem finansējuma saņēmēja izmaksām ar jaunu punktu "Šo noteikumu ietvaros finansējuma saņēmējam ir attiecināms pievienotās vērtības nodoklis, ja tas nav atgūstams saskaņā ar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Pasākuma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lēmumu par de minimis atbalsta piešķiršanu saskaņā ar Komisijas regulas Nr. 2023/2831 7. panta 3. punktu un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jo nav saprotama teikuma konstrukcija.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lēmumu par de minimis atbalsta piešķiršanu var pieņemt līdz 2029. gada 31. decembrim, ievērojot Komisijas regulas Nr. 2023/2831 7. panta 3. punktā un 8. pantā noteikto darbības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Atbilstoši Komisijas regulas Nr. 2023/2831 6. panta 3. punktam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"Dalībvalstis reģistrēto informāciju par de minimis atbalstu glabā 10 gadus no atbalsta piešķiršanas dienas", taču vienlaikus Komisijas regulas Nr. 2023/2831 6. panta 7. 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papildināt noteikumu 59.punkta redakciju, norādot sasaisti gan ar Komisijas regulas Nr.2023/2831 6.panta 3.punktu, gan ar Komisijas regulas Nr.2023/2831 6.panta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papildināta ar 6.punkta 7.pantu.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Atbilstoši Komisijas regulas Nr. 2023/2831 6. panta 3. un 7. punktam informācijas pieejamību nodrošina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ne tikai informāciju par demarkāciju, bet arī informāciju par sinerģiju un papildinātību ar citiem atbalsta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programma sinerģijā (t.sk. demarkācijā) ir tikai ar 2.2.1.1.i un 2.2.1.2.i investīcijām,kas attiecīgi aprakstītas anotācijas 1.3. sadaļas 7.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1.3.sadaļā iekļaut vairāk skaitliskas nacionālajos plānošanas dokumentos, piemēram, Nacionālās industriālās politikas pamatnostādnēs 2021.-2027. gadam noteikto rādītāju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šādu informāciju - 1.2.2.1. pasākums veicinās arī NIP noteikto eksporta mērķu sasniegšanu, ņemot vērā, ka līdz ar pasākuma ieviešanu, tiks nodrošināts atbalsts komersantiem digitālo procesu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pievērst uzmanību anotācijas sadaļai problēmas apraksts, kur sniegta detalizēta informācija par skaitlisku informāciju nacionālajos plānošanas dokumentos.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teikumu "1.2.2.1. pasākums sniegs ieguldījumu Eiropas Savienības Padomes rekomendācijas Latvijai 2023.gadam par digitālo pārveidi (1.rekomendācijas daļa) izpildē, jo nodrošinās Eiropas Savienības fondu efektīvu apgūšanu, jo īpaši, lai veicinātu digitālo pāreju", un norādīt par ieguldījumu Latvijas tautsaimniecībā.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 pasākums sniegs ieguldījumu Latvijas tautsaimniecības attīstībā.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arī informāciju par sinerģiju un papildinātību ar citiem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1.3.sadaļā iekļaut vairāk skaitliskas plānošanas dokumentos noteikto rādītāju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par digitālo desmitgadi.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iekļaut informāciju par pasākuma ieguldījumu ES Padomes rekomendācijas Latvijai 2023.gadam par digitālo pārveidi (1.rekomendācijas daļa)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pasākums sniegs ieguldījumu Eiropas Savienības Padomes rekomendācijas Latvijai 2023.gadam par digitālo pārveidi (1.rekomendācijas daļa) izpildē, jo nodrošinās Eiropas Savienības fondu efektīvu apgūšanu, jo īpaši, lai veicinātu digitālo pāreju.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vienkāršoto izmaksu metodiku, kas saistīta ar finanšu atbalsta sniegšanu gala labuma guvējiem procesu digitalizācijas komercdarbībā, tiks nosegtas visas plānotās gala labuma guvēja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vienkāršoto izmaksu metodiku tiks nosegtas visas plānotās gala labuma guvēja izmaksas - gan finanšu, gan nenfinanšu.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ka vienkāršoto izmaksu metodika, kas saistīta ar finanšu atbalsta sniegšanu gala labuma guvējiem procesu digitalizācijas komercdarbībā izmaksām tiks saskaņota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Papildinās. Tiks izstrādāta metodika gan par finanšu, gan nefinanšu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1.3.8. sadaļas tekstu ar projektā ietverto tiesisko regulējumu. Anotācijas 1.3.8. sadaļā noteikts, ka [..] pēc informācijas sistēmas saņemšanas no Sodu reģistra, Finansējuma saņēmējs informāciju par Fondu vadības likuma 22. panta pirmās daļas 2. punktā noteiktajiem izslēgšanas nosacījumiem pārbauda VID un Valsts darba inspekcijā. Norādām, ka projektā nav iekļautas normas, kas nosaka iepriekš minētās personas datu apstrādes noteikumus. Tāpat vēršam uzmanību, ka kārtība, kādā izvērtē projekta iesniedzēja atbilstību Eiropas Savienības fondu 2021.–2027. gada plānošanas perioda vadības likuma 22. pantā minētajiem izslēgšanas noteikumiem, ir noteikta  Ministru kabineta 2023. gada 13. jūlija noteikumos Nr. 408 “Kārtība, kādā Eiropas Savienības fondu vadībā iesaistītās institūcijas nodrošina šo fondu ieviešanu 2021.–2027. gada plānošanas periodā”. Līdz ar to aicinām izvērtēt izslēgšanas nosacījumu kartības skaidrošanas, tai skaitā tabulas par tiesību normām, kas Sodu reģistrā pārbaudāmas elektronisko izziņu vajadzībām, nepieciešamību projekta anotācijas 1.3.8.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uzskata, ka šāda uzskaite ir jāveic arī katrā atbalsta programmas tiesiskajā regulējumā, lai noteiktu konkrētu normu interpretāciju.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līdz šim ir bijuši šāda prakse tabulas iekļaušanai anotācijā, kas saskaņota ar 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definēt atbildīgās iestādes izstrādātās vienkāršo izmaksu metodikas izstrādes un saskaņošanas termiņu, nodrošinot informācijas saskaņotību visā tiesību akta projektā, ņemot vērā, ka anotācijas 9.punkta "Vienkāršoto izmaksu metodikas" pirmajā rindkopā norādīts, ka  Ekonomikas ministrija kā atbildīgā iestāde vienkāršoto izmaksu metodiku izstrādās un saskaņos līdz projekta iesniegšanai Sadarbības iestādē, taču pēdēja rindkopā norādīts, ka 1.2.2.1. pasākumā paredzēto atbildīgās iestādes izstrādāto vienkāršoto izmaksu metodiku plānots izstrādāt līdz izsludinātajai projekta atlasei.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Vienkāršoto izmaksu metodika tiks izstrādāta līdz projekta iesniegšanai CFLA.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6.punktā norādīta pieejamā finansējuma nevis kopējā finansējuma summas sadalījums pa gadiem kā norādīts 2.rindkopas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biedrības, nodibinājumi, NVO nav piedalījušies MK noteikumu projekta izstrādē, tikai snieguši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40.9. apakšpunkts paredz finansējuma saņēmēja darbinieku, kas iesaistīti gala labuma guvēju pieteikumu vērtēšanas procesā, personas datu, proti, vārda un uzvārda, apstrādi, lūdzam aizpildīt anotācijas 8.1.13. sadaļu. Aicinām papildināt projekta anotācijas 8.1.13. sadaļu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gadījumā, ja ir netieša ietekme uz horizontālo principu “Vienlīdzība, iekļaušana, nediskriminācija un pamattiesību ievērošana”, noteikumu projektā nepieciešams iekļaut vismaz vienu minētā horizontālā principa rādītāju pasākuma ietvaros un attiecīgas informācijas uzkrāšanas un aktuālo vērtību ziņošanas pienākumu. Lūdzam attiecīgi precizēt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8.2. sadaļa, norādot, ka pasākumam nav ietekmes uz horizontālo principu “Vienlīdzība, iekļaušana, nediskriminācija un pamattiesību ievērošana" (turpmāk - HP VINPI). Lai  nodrošinātu, ka projektu īstenošanā tiek veicināta vienlīdzība, iekļaušana, nediskriminācija un  ievērotas  pamattiesības, projektu iesniegumu vērtēšanā tiks piemērots HP VINPI specifiskais atbilstības kritērijs. Kritērijā tiks vērtēts, vai projekta iesniegumā ir paredzēta vismaz viena vispārīgā HP VINPI darbība, kas attiecas uz publicitāti, personālu vai publiskajiem iepirkumiem.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ietekmi uz horizontālo principu “Vienlīdzība, iekļaušana, nediskriminācija un pamattiesību ievērošana" (turpmāk - HP VINPI). Izvērtējot MK noteikumos noteiktās  atbalstāmās darbības, secināms, ka pasākumam nav ietekmes uz HP VINPI.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(turpmāk - HP VINPI). Lai  nodrošinātu, ka projektu īstenošanā tiek veicināta vienlīdzība, iekļaušana, nediskriminācija un  ievērotas  pamattiesības, projektu iesniegumu vērtēšanā tiks piemērots HP VINPI specifiskais atbilstības kritērijs. Kritērijā tiks vērtēts, vai projekta iesniegumā ir paredzēta vismaz viena vispārīgā HP VINPI darbība, kas attiecas uz publicitāti, personālu vai publiskajiem iepirkumiem.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24-TA-672</w:t>
    </w:r>
    <w:r>
      <w:br/>
    </w:r>
    <w:r w:rsidR="00000000" w:rsidRPr="00000000" w:rsidDel="00000000">
      <w:rPr>
        <w:rtl w:val="0"/>
      </w:rPr>
      <w:t xml:space="preserve">03.09.2024. 16.50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24-TA-672</w:t>
    </w:r>
    <w:r>
      <w:br/>
    </w:r>
    <w:r w:rsidR="00000000" w:rsidRPr="00000000" w:rsidDel="00000000">
      <w:rPr>
        <w:rtl w:val="0"/>
      </w:rPr>
      <w:t xml:space="preserve">03.09.2024. 16.50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Izziņa_24-TA-672.docx</dc:title>
</cp:coreProperties>
</file>

<file path=docProps/custom.xml><?xml version="1.0" encoding="utf-8"?>
<Properties xmlns="http://schemas.openxmlformats.org/officeDocument/2006/custom-properties" xmlns:vt="http://schemas.openxmlformats.org/officeDocument/2006/docPropsVTypes"/>
</file>