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13D2" w14:textId="77777777" w:rsidR="004B1E93" w:rsidRDefault="004B1E93" w:rsidP="00B64C6F"/>
    <w:p w14:paraId="1A6B293F" w14:textId="77777777" w:rsidR="002678E7" w:rsidRPr="002678E7" w:rsidRDefault="002678E7" w:rsidP="002678E7"/>
    <w:p w14:paraId="1C1A1414" w14:textId="77777777" w:rsidR="002678E7" w:rsidRDefault="002678E7" w:rsidP="002678E7"/>
    <w:p w14:paraId="2F8113F7" w14:textId="77777777" w:rsidR="006926FF" w:rsidRDefault="006926FF" w:rsidP="006926FF">
      <w:pPr>
        <w:spacing w:after="0"/>
        <w:rPr>
          <w:rFonts w:ascii="Book Antiqua" w:hAnsi="Book Antiqua"/>
        </w:rPr>
      </w:pPr>
      <w:r w:rsidRPr="00B778A8">
        <w:rPr>
          <w:rFonts w:ascii="Book Antiqua" w:hAnsi="Book Antiqua"/>
        </w:rPr>
        <w:t>Rīgā</w:t>
      </w:r>
      <w:r w:rsidR="00E308BE">
        <w:rPr>
          <w:rFonts w:ascii="Book Antiqua" w:hAnsi="Book Antiqua"/>
        </w:rPr>
        <w:t xml:space="preserve"> , </w:t>
      </w:r>
      <w:r w:rsidR="00105671">
        <w:rPr>
          <w:rFonts w:ascii="Book Antiqua" w:hAnsi="Book Antiqua"/>
        </w:rPr>
        <w:t>1</w:t>
      </w:r>
      <w:r w:rsidR="00EF636E">
        <w:rPr>
          <w:rFonts w:ascii="Book Antiqua" w:hAnsi="Book Antiqua"/>
        </w:rPr>
        <w:t>2</w:t>
      </w:r>
      <w:r>
        <w:rPr>
          <w:rFonts w:ascii="Book Antiqua" w:hAnsi="Book Antiqua"/>
        </w:rPr>
        <w:t>.</w:t>
      </w:r>
      <w:r w:rsidR="00105671">
        <w:rPr>
          <w:rFonts w:ascii="Book Antiqua" w:hAnsi="Book Antiqua"/>
        </w:rPr>
        <w:t>0</w:t>
      </w:r>
      <w:r w:rsidR="00EF636E">
        <w:rPr>
          <w:rFonts w:ascii="Book Antiqua" w:hAnsi="Book Antiqua"/>
        </w:rPr>
        <w:t>7</w:t>
      </w:r>
      <w:r>
        <w:rPr>
          <w:rFonts w:ascii="Book Antiqua" w:hAnsi="Book Antiqua"/>
        </w:rPr>
        <w:t>.202</w:t>
      </w:r>
      <w:r w:rsidR="00105671">
        <w:rPr>
          <w:rFonts w:ascii="Book Antiqua" w:hAnsi="Book Antiqua"/>
        </w:rPr>
        <w:t>1</w:t>
      </w:r>
      <w:r>
        <w:rPr>
          <w:rFonts w:ascii="Book Antiqua" w:hAnsi="Book Antiqua"/>
        </w:rPr>
        <w:t>.</w:t>
      </w:r>
    </w:p>
    <w:p w14:paraId="05E7B643" w14:textId="77777777" w:rsidR="006926FF" w:rsidRDefault="006926FF" w:rsidP="006926FF">
      <w:pPr>
        <w:spacing w:after="0"/>
        <w:rPr>
          <w:rFonts w:ascii="Book Antiqua" w:hAnsi="Book Antiqua"/>
        </w:rPr>
      </w:pPr>
      <w:r>
        <w:rPr>
          <w:rFonts w:ascii="Book Antiqua" w:hAnsi="Book Antiqua"/>
        </w:rPr>
        <w:t>Nr.</w:t>
      </w:r>
      <w:r w:rsidR="00EF636E">
        <w:rPr>
          <w:rFonts w:ascii="Book Antiqua" w:hAnsi="Book Antiqua"/>
        </w:rPr>
        <w:t>29</w:t>
      </w:r>
      <w:r>
        <w:rPr>
          <w:rFonts w:ascii="Book Antiqua" w:hAnsi="Book Antiqua"/>
        </w:rPr>
        <w:t>/</w:t>
      </w:r>
      <w:r w:rsidR="00105671">
        <w:rPr>
          <w:rFonts w:ascii="Book Antiqua" w:hAnsi="Book Antiqua"/>
        </w:rPr>
        <w:t>0</w:t>
      </w:r>
      <w:r w:rsidR="00EF636E">
        <w:rPr>
          <w:rFonts w:ascii="Book Antiqua" w:hAnsi="Book Antiqua"/>
        </w:rPr>
        <w:t>7</w:t>
      </w:r>
      <w:r>
        <w:rPr>
          <w:rFonts w:ascii="Book Antiqua" w:hAnsi="Book Antiqua"/>
        </w:rPr>
        <w:t>-2</w:t>
      </w:r>
      <w:r w:rsidR="00105671">
        <w:rPr>
          <w:rFonts w:ascii="Book Antiqua" w:hAnsi="Book Antiqua"/>
        </w:rPr>
        <w:t>1</w:t>
      </w:r>
    </w:p>
    <w:p w14:paraId="2547DF6A" w14:textId="77777777" w:rsidR="00105671" w:rsidRPr="007C0644" w:rsidRDefault="00105671" w:rsidP="00105671">
      <w:pPr>
        <w:spacing w:after="0" w:line="240" w:lineRule="auto"/>
        <w:jc w:val="both"/>
        <w:rPr>
          <w:rFonts w:ascii="Book Antiqua" w:hAnsi="Book Antiqua"/>
        </w:rPr>
      </w:pPr>
    </w:p>
    <w:p w14:paraId="5152AC64" w14:textId="77777777" w:rsidR="00105671" w:rsidRPr="007C0644" w:rsidRDefault="00105671" w:rsidP="00105671">
      <w:pPr>
        <w:spacing w:after="0" w:line="240" w:lineRule="auto"/>
        <w:jc w:val="right"/>
        <w:rPr>
          <w:rFonts w:ascii="Book Antiqua" w:hAnsi="Book Antiqua"/>
          <w:b/>
          <w:bCs/>
        </w:rPr>
      </w:pPr>
      <w:r w:rsidRPr="007C0644">
        <w:rPr>
          <w:rFonts w:ascii="Book Antiqua" w:hAnsi="Book Antiqua"/>
          <w:b/>
          <w:bCs/>
        </w:rPr>
        <w:t>Vides aizsardzības un reģionālās attīstības ministrijai</w:t>
      </w:r>
    </w:p>
    <w:p w14:paraId="6BAC4BB9" w14:textId="77777777" w:rsidR="00105671" w:rsidRPr="007C0644" w:rsidRDefault="00105671" w:rsidP="00105671">
      <w:pPr>
        <w:spacing w:after="0" w:line="240" w:lineRule="auto"/>
        <w:jc w:val="right"/>
        <w:rPr>
          <w:rFonts w:ascii="Book Antiqua" w:hAnsi="Book Antiqua"/>
        </w:rPr>
      </w:pPr>
      <w:r w:rsidRPr="007C0644">
        <w:rPr>
          <w:rFonts w:ascii="Book Antiqua" w:hAnsi="Book Antiqua"/>
        </w:rPr>
        <w:t>Peldu iela 25, Rīga, LV-1494</w:t>
      </w:r>
    </w:p>
    <w:p w14:paraId="4BE1D86A" w14:textId="77777777" w:rsidR="00105671" w:rsidRPr="007C0644" w:rsidRDefault="00105671" w:rsidP="00105671">
      <w:pPr>
        <w:spacing w:after="0" w:line="240" w:lineRule="auto"/>
        <w:jc w:val="right"/>
        <w:rPr>
          <w:rFonts w:ascii="Book Antiqua" w:hAnsi="Book Antiqua"/>
        </w:rPr>
      </w:pPr>
      <w:r w:rsidRPr="007C0644">
        <w:rPr>
          <w:rFonts w:ascii="Book Antiqua" w:hAnsi="Book Antiqua"/>
        </w:rPr>
        <w:t xml:space="preserve">e-pasts: </w:t>
      </w:r>
      <w:hyperlink r:id="rId7" w:history="1">
        <w:r w:rsidRPr="007C0644">
          <w:rPr>
            <w:rStyle w:val="Hyperlink"/>
            <w:rFonts w:ascii="Book Antiqua" w:hAnsi="Book Antiqua"/>
          </w:rPr>
          <w:t>pasts@varam.gov.lv</w:t>
        </w:r>
      </w:hyperlink>
    </w:p>
    <w:p w14:paraId="32383D0A" w14:textId="77777777" w:rsidR="00105671" w:rsidRDefault="00105671" w:rsidP="00105671">
      <w:pPr>
        <w:spacing w:after="0" w:line="240" w:lineRule="auto"/>
        <w:rPr>
          <w:rFonts w:ascii="Book Antiqua" w:hAnsi="Book Antiqua"/>
        </w:rPr>
      </w:pPr>
    </w:p>
    <w:p w14:paraId="328A7D01" w14:textId="77777777" w:rsidR="00105671" w:rsidRPr="007C0644" w:rsidRDefault="00105671" w:rsidP="00105671">
      <w:pPr>
        <w:spacing w:after="0" w:line="240" w:lineRule="auto"/>
        <w:rPr>
          <w:rFonts w:ascii="Book Antiqua" w:hAnsi="Book Antiqua"/>
        </w:rPr>
      </w:pPr>
    </w:p>
    <w:p w14:paraId="05EA5713" w14:textId="77777777" w:rsidR="00EF636E" w:rsidRPr="00EF636E" w:rsidRDefault="00EF636E" w:rsidP="00EF636E">
      <w:pPr>
        <w:spacing w:after="0" w:line="240" w:lineRule="auto"/>
        <w:rPr>
          <w:rFonts w:ascii="Book Antiqua" w:hAnsi="Book Antiqua"/>
          <w:b/>
          <w:i/>
          <w:iCs/>
          <w:sz w:val="24"/>
          <w:szCs w:val="24"/>
        </w:rPr>
      </w:pPr>
      <w:r w:rsidRPr="00EF636E">
        <w:rPr>
          <w:rFonts w:ascii="Book Antiqua" w:hAnsi="Book Antiqua"/>
          <w:b/>
          <w:i/>
          <w:iCs/>
          <w:sz w:val="24"/>
          <w:szCs w:val="24"/>
        </w:rPr>
        <w:t>Par Ministru kabineta noteikumu „Atkritumu dalītas savākšanas,</w:t>
      </w:r>
    </w:p>
    <w:p w14:paraId="0A1B20DD" w14:textId="77777777" w:rsidR="00EF636E" w:rsidRPr="00EF636E" w:rsidRDefault="00EF636E" w:rsidP="00EF636E">
      <w:pPr>
        <w:spacing w:after="0" w:line="240" w:lineRule="auto"/>
        <w:rPr>
          <w:rFonts w:ascii="Book Antiqua" w:hAnsi="Book Antiqua"/>
          <w:b/>
          <w:i/>
          <w:iCs/>
          <w:sz w:val="24"/>
          <w:szCs w:val="24"/>
        </w:rPr>
      </w:pPr>
      <w:r w:rsidRPr="00EF636E">
        <w:rPr>
          <w:rFonts w:ascii="Book Antiqua" w:hAnsi="Book Antiqua"/>
          <w:b/>
          <w:i/>
          <w:iCs/>
          <w:sz w:val="24"/>
          <w:szCs w:val="24"/>
        </w:rPr>
        <w:t>sagatavošanas atkārtotai izmantošanai, pārstrādes un materiālu</w:t>
      </w:r>
    </w:p>
    <w:p w14:paraId="4DC87129" w14:textId="77777777" w:rsidR="00EF636E" w:rsidRPr="00EF636E" w:rsidRDefault="00EF636E" w:rsidP="00EF636E">
      <w:pPr>
        <w:spacing w:after="0" w:line="240" w:lineRule="auto"/>
        <w:rPr>
          <w:rFonts w:ascii="Book Antiqua" w:hAnsi="Book Antiqua"/>
          <w:b/>
          <w:i/>
          <w:iCs/>
          <w:sz w:val="24"/>
          <w:szCs w:val="24"/>
        </w:rPr>
      </w:pPr>
      <w:r w:rsidRPr="00EF636E">
        <w:rPr>
          <w:rFonts w:ascii="Book Antiqua" w:hAnsi="Book Antiqua"/>
          <w:b/>
          <w:i/>
          <w:iCs/>
          <w:sz w:val="24"/>
          <w:szCs w:val="24"/>
        </w:rPr>
        <w:t>reģenerācijas noteikumi” projektu (VSS-1061)</w:t>
      </w:r>
    </w:p>
    <w:p w14:paraId="1DAA188C" w14:textId="77777777" w:rsidR="00EF636E" w:rsidRPr="002F56BB" w:rsidRDefault="00EF636E" w:rsidP="00EF636E">
      <w:pPr>
        <w:spacing w:after="0" w:line="240" w:lineRule="auto"/>
        <w:rPr>
          <w:rFonts w:ascii="Book Antiqua" w:hAnsi="Book Antiqua"/>
        </w:rPr>
      </w:pPr>
    </w:p>
    <w:p w14:paraId="217C86DB" w14:textId="77777777" w:rsidR="00EF636E" w:rsidRPr="002F56BB" w:rsidRDefault="00EF636E" w:rsidP="00EF636E">
      <w:pPr>
        <w:spacing w:after="0" w:line="240" w:lineRule="auto"/>
        <w:ind w:firstLine="720"/>
        <w:jc w:val="both"/>
        <w:rPr>
          <w:rFonts w:ascii="Book Antiqua" w:hAnsi="Book Antiqua"/>
        </w:rPr>
      </w:pPr>
      <w:r w:rsidRPr="002F56BB">
        <w:rPr>
          <w:rFonts w:ascii="Book Antiqua" w:hAnsi="Book Antiqua"/>
        </w:rPr>
        <w:t xml:space="preserve">Biedrība „LATVIJAS ATKRITUMU SAIMNIECĪBAS UZŅĒMUMU ASOCIĀCIJA”, reģistrācijas Nr. 40008013925, turpmāk – </w:t>
      </w:r>
      <w:r w:rsidRPr="002F56BB">
        <w:rPr>
          <w:rFonts w:ascii="Book Antiqua" w:hAnsi="Book Antiqua"/>
          <w:b/>
          <w:bCs/>
        </w:rPr>
        <w:t>LASUA</w:t>
      </w:r>
      <w:r w:rsidRPr="002F56BB">
        <w:rPr>
          <w:rFonts w:ascii="Book Antiqua" w:hAnsi="Book Antiqua"/>
        </w:rPr>
        <w:t>, ir iepazinusies ar precizēto Ministru kabineta noteikumu projektu „</w:t>
      </w:r>
      <w:r w:rsidRPr="002F56BB">
        <w:rPr>
          <w:rFonts w:ascii="Book Antiqua" w:hAnsi="Book Antiqua"/>
          <w:iCs/>
        </w:rPr>
        <w:t>Atkritumu dalītas savākšanas, sagatavošanas atkārtotai izmantošanai, pārstrādes un materiālu reģenerācijas noteikumi</w:t>
      </w:r>
      <w:r w:rsidRPr="002F56BB">
        <w:rPr>
          <w:rFonts w:ascii="Book Antiqua" w:hAnsi="Book Antiqua"/>
        </w:rPr>
        <w:t xml:space="preserve">” (VSS-1061), turpmāk – </w:t>
      </w:r>
      <w:r w:rsidRPr="002F56BB">
        <w:rPr>
          <w:rFonts w:ascii="Book Antiqua" w:hAnsi="Book Antiqua"/>
          <w:b/>
          <w:bCs/>
        </w:rPr>
        <w:t>Projekts</w:t>
      </w:r>
      <w:r w:rsidRPr="002F56BB">
        <w:rPr>
          <w:rFonts w:ascii="Book Antiqua" w:hAnsi="Book Antiqua"/>
        </w:rPr>
        <w:t>, un izsaka turpmāk norādītos iebildumus par to.</w:t>
      </w:r>
    </w:p>
    <w:p w14:paraId="414E4AC9" w14:textId="77777777" w:rsidR="00EF636E" w:rsidRPr="002F56BB" w:rsidRDefault="00EF636E" w:rsidP="00EF636E">
      <w:pPr>
        <w:spacing w:after="0" w:line="240" w:lineRule="auto"/>
        <w:ind w:firstLine="720"/>
        <w:jc w:val="both"/>
        <w:rPr>
          <w:rFonts w:ascii="Book Antiqua" w:hAnsi="Book Antiqua"/>
        </w:rPr>
      </w:pPr>
      <w:r w:rsidRPr="002F56BB">
        <w:rPr>
          <w:rFonts w:ascii="Book Antiqua" w:hAnsi="Book Antiqua"/>
          <w:b/>
          <w:bCs/>
        </w:rPr>
        <w:t xml:space="preserve">[1] </w:t>
      </w:r>
      <w:r w:rsidRPr="002F56BB">
        <w:rPr>
          <w:rFonts w:ascii="Book Antiqua" w:hAnsi="Book Antiqua"/>
        </w:rPr>
        <w:t xml:space="preserve">LASUA ieskatā, Projektā nav ietverta nepārprotama norāde uz to, ka darbības ar atkritumiem var veikt tikai tādas personas, kurām ir nepieciešamās atkritumu apsaimniekošanas atļaujas. 2020. gada 9. jūlija likuma „Grozījumi Atkritumu apsaimniekošanas likumā” anotācijas 2.2.16. apakšpunktā cita starpā ir norādīts, ka, lai nodrošinātu būvniecības un būvju nojaukšanas atkritumu apsaimniekošanas mērķu sasniegšanu un nodrošinātu direktīvā 2018/851/ES noteikto prasību izpildi attiecībā uz būvniecības un būvju nojaukšanas atkritumu apsaimniekošanu, nepieciešams Atkritumu apsaimniekošanas likumā precizēt, ka par minēto pasākumu veikšanu ir atbildīgi arī atkritumu apsaimniekotāji, kuri sagatavo būvniecības un būvju nojaukšanas atkritumus atkārtotai izmantošanai, veic to pārstrādi vai materiālu reģenerāciju, tai skaitā izmantošanu izrakto </w:t>
      </w:r>
      <w:proofErr w:type="spellStart"/>
      <w:r w:rsidRPr="002F56BB">
        <w:rPr>
          <w:rFonts w:ascii="Book Antiqua" w:hAnsi="Book Antiqua"/>
        </w:rPr>
        <w:t>tilpju</w:t>
      </w:r>
      <w:proofErr w:type="spellEnd"/>
      <w:r w:rsidRPr="002F56BB">
        <w:rPr>
          <w:rFonts w:ascii="Book Antiqua" w:hAnsi="Book Antiqua"/>
        </w:rPr>
        <w:t xml:space="preserve"> aizpildīšanai. Ja būvniecības atkritumu radītājs vēlas pats veikt atkritumu pārstrādes, reģenerācijas vai pārvadāšanas darbības, tad tam, kā jebkuram citam atkritumu apsaimniekotājam, ir saistošas atkritumu apsaimniekošanas prasības, ar no tā izrietošiem pienākumiem, nosacījumiem un prasībām. Līdz ar to, nav šaubu, ka likumdevējs ir vēlējies paredzēt, ka ar atkritumu apsaimniekošanu var nodarboties tikai tāds personu loks, kas atbilst normatīvajos aktos izvirzītajām prasībām, tajā skaitā nosacījumam par atbilstošas atkritumu apsaimniekošanas atļaujas saņemšanu.</w:t>
      </w:r>
    </w:p>
    <w:p w14:paraId="7397E8F1" w14:textId="77777777" w:rsidR="00EF636E" w:rsidRDefault="00EF636E" w:rsidP="00EF636E">
      <w:pPr>
        <w:spacing w:after="0" w:line="240" w:lineRule="auto"/>
        <w:ind w:firstLine="720"/>
        <w:jc w:val="both"/>
        <w:rPr>
          <w:rFonts w:ascii="Book Antiqua" w:hAnsi="Book Antiqua"/>
        </w:rPr>
      </w:pPr>
      <w:r w:rsidRPr="002F56BB">
        <w:rPr>
          <w:rFonts w:ascii="Book Antiqua" w:hAnsi="Book Antiqua"/>
        </w:rPr>
        <w:t xml:space="preserve">Turklāt, ņemot vērā pašreizējo Projekta redakciju, pēc LASUA domām, var rasties nevienlīdzīgas konkurences apstākļi būvniecības atkritumu radītājiem un būvniecības atkritumu apsaimniekotājiem. Proti, no Projekta var izdarīt secinājumu, ka atkritumu radītājiem atkritumu apsaimniekošanai nav nepieciešamas nekāda veida atkritumu apsaimniekošanas atļaujas, tāpat netiek izvirzīti atkritumu apsaimniekošanas noteikumi, kā piemēram, finanšu nodrošinājuma esība, pārskatu iesniegšana par apsaimniekoto atkritumu apjomiem, savukārt atkritumu apsaimniekotājiem tiek izvirzītas dažādas prasības un noteikumi, lai tie varētu veikt atkritumu apsaimniekošanu. LASUA atbalsta, ka, lai aizsargātu vidi, cilvēku dzīvību </w:t>
      </w:r>
    </w:p>
    <w:p w14:paraId="25D06348" w14:textId="77777777" w:rsidR="00EF636E" w:rsidRDefault="00EF636E" w:rsidP="00EF636E">
      <w:pPr>
        <w:spacing w:after="0" w:line="240" w:lineRule="auto"/>
        <w:ind w:firstLine="720"/>
        <w:jc w:val="both"/>
        <w:rPr>
          <w:rFonts w:ascii="Book Antiqua" w:hAnsi="Book Antiqua"/>
        </w:rPr>
      </w:pPr>
    </w:p>
    <w:p w14:paraId="467D9334" w14:textId="77777777" w:rsidR="00EF636E" w:rsidRDefault="00EF636E" w:rsidP="00EF636E">
      <w:pPr>
        <w:spacing w:after="0" w:line="240" w:lineRule="auto"/>
        <w:ind w:firstLine="720"/>
        <w:jc w:val="both"/>
        <w:rPr>
          <w:rFonts w:ascii="Book Antiqua" w:hAnsi="Book Antiqua"/>
        </w:rPr>
      </w:pPr>
    </w:p>
    <w:p w14:paraId="5A8507C2" w14:textId="77777777" w:rsidR="00EF636E" w:rsidRDefault="00EF636E" w:rsidP="00EF636E">
      <w:pPr>
        <w:spacing w:after="0" w:line="240" w:lineRule="auto"/>
        <w:ind w:firstLine="720"/>
        <w:jc w:val="both"/>
        <w:rPr>
          <w:rFonts w:ascii="Book Antiqua" w:hAnsi="Book Antiqua"/>
        </w:rPr>
      </w:pPr>
    </w:p>
    <w:p w14:paraId="3C877D76" w14:textId="77777777" w:rsidR="00EF636E" w:rsidRDefault="00EF636E" w:rsidP="00EF636E">
      <w:pPr>
        <w:spacing w:after="0" w:line="240" w:lineRule="auto"/>
        <w:ind w:firstLine="720"/>
        <w:jc w:val="both"/>
        <w:rPr>
          <w:rFonts w:ascii="Book Antiqua" w:hAnsi="Book Antiqua"/>
        </w:rPr>
      </w:pPr>
    </w:p>
    <w:p w14:paraId="34E4E57E" w14:textId="77777777" w:rsidR="00EF636E" w:rsidRDefault="00EF636E" w:rsidP="00EF636E">
      <w:pPr>
        <w:spacing w:after="0" w:line="240" w:lineRule="auto"/>
        <w:ind w:firstLine="720"/>
        <w:jc w:val="both"/>
        <w:rPr>
          <w:rFonts w:ascii="Book Antiqua" w:hAnsi="Book Antiqua"/>
        </w:rPr>
      </w:pPr>
    </w:p>
    <w:p w14:paraId="4C44F381" w14:textId="77777777" w:rsidR="00EF636E" w:rsidRPr="002F56BB" w:rsidRDefault="00EF636E" w:rsidP="00EF636E">
      <w:pPr>
        <w:spacing w:after="0" w:line="240" w:lineRule="auto"/>
        <w:ind w:firstLine="720"/>
        <w:jc w:val="both"/>
        <w:rPr>
          <w:rFonts w:ascii="Book Antiqua" w:hAnsi="Book Antiqua"/>
        </w:rPr>
      </w:pPr>
      <w:r w:rsidRPr="002F56BB">
        <w:rPr>
          <w:rFonts w:ascii="Book Antiqua" w:hAnsi="Book Antiqua"/>
        </w:rPr>
        <w:t>un veselību, kā arī pēc iespējas kvalitatīvāk un efektīvāk izpildītu Eiropas Savienības līmenī noteiktos mērķus, ir jābūt noteiktiem mehānismiem, kā kontrolēt un pārbaudīt ar atkritumu apsaimniekošanu saistīto darbību atbilstību normatīvajiem aktiem, bet šādam kontroles mehānismam būtu jāattiecas uz ikvienu personu, kura veic darbības, kas vērstas uz atkritumu apsaimniekošanu.</w:t>
      </w:r>
    </w:p>
    <w:p w14:paraId="0C3E88D0" w14:textId="77777777" w:rsidR="00EF636E" w:rsidRPr="002F56BB" w:rsidRDefault="00EF636E" w:rsidP="00EF636E">
      <w:pPr>
        <w:spacing w:after="0" w:line="240" w:lineRule="auto"/>
        <w:ind w:firstLine="720"/>
        <w:jc w:val="both"/>
        <w:rPr>
          <w:rFonts w:ascii="Book Antiqua" w:hAnsi="Book Antiqua"/>
          <w:b/>
          <w:bCs/>
        </w:rPr>
      </w:pPr>
      <w:r w:rsidRPr="002F56BB">
        <w:rPr>
          <w:rFonts w:ascii="Book Antiqua" w:hAnsi="Book Antiqua"/>
        </w:rPr>
        <w:t xml:space="preserve">Ievērojot iepriekš minēto, kā arī ņemot vērā Atkritumu apsaimniekošanas likuma mērķi un jēgu, LASUA ieskatā, ir </w:t>
      </w:r>
      <w:r w:rsidRPr="002F56BB">
        <w:rPr>
          <w:rFonts w:ascii="Book Antiqua" w:hAnsi="Book Antiqua"/>
          <w:b/>
          <w:bCs/>
        </w:rPr>
        <w:t>jāprecizē Projekta 6. punkts, lai neradītu nekorektu un vides aizsardzības principiem neatbilstošu normatīvā akta regulējumu, izsakot to šādā redakcijā:</w:t>
      </w:r>
    </w:p>
    <w:p w14:paraId="56134B15" w14:textId="77777777" w:rsidR="00EF636E" w:rsidRPr="002F56BB" w:rsidRDefault="00EF636E" w:rsidP="00EF636E">
      <w:pPr>
        <w:spacing w:after="0" w:line="240" w:lineRule="auto"/>
        <w:jc w:val="both"/>
        <w:rPr>
          <w:rFonts w:ascii="Book Antiqua" w:hAnsi="Book Antiqua"/>
          <w:b/>
          <w:bCs/>
        </w:rPr>
      </w:pPr>
      <w:r w:rsidRPr="002F56BB">
        <w:rPr>
          <w:rFonts w:ascii="Book Antiqua" w:hAnsi="Book Antiqua"/>
          <w:b/>
          <w:bCs/>
        </w:rPr>
        <w:t xml:space="preserve">„6. Šo noteikumu 1.pielikumā minētos būvniecības atkritumus, kuri nav bīstami atbilstoši normatīvajiem aktiem par atkritumu klasifikatoru un īpašībām, kas padara atkritumus bīstamus, katru gadu ne mazāk kā 70 % (pēc svara) no kopējā kalendāra gadā radītajiem būvniecības un būvju nojaukšanas atkritumiem sagatavo un atkārtoti izmanto vai pārstrādā, vai arī veic minētajos atkritumos esošo materiālu reģenerāciju, tai skaitā izmanto izrakto </w:t>
      </w:r>
      <w:proofErr w:type="spellStart"/>
      <w:r w:rsidRPr="002F56BB">
        <w:rPr>
          <w:rFonts w:ascii="Book Antiqua" w:hAnsi="Book Antiqua"/>
          <w:b/>
          <w:bCs/>
        </w:rPr>
        <w:t>tilpju</w:t>
      </w:r>
      <w:proofErr w:type="spellEnd"/>
      <w:r w:rsidRPr="002F56BB">
        <w:rPr>
          <w:rFonts w:ascii="Book Antiqua" w:hAnsi="Book Antiqua"/>
          <w:b/>
          <w:bCs/>
        </w:rPr>
        <w:t xml:space="preserve"> aizpildīšanai.”</w:t>
      </w:r>
    </w:p>
    <w:p w14:paraId="3D345552" w14:textId="77777777" w:rsidR="00EF636E" w:rsidRPr="002F56BB" w:rsidRDefault="00EF636E" w:rsidP="00EF636E">
      <w:pPr>
        <w:spacing w:after="0" w:line="240" w:lineRule="auto"/>
        <w:ind w:firstLine="720"/>
        <w:jc w:val="both"/>
        <w:rPr>
          <w:rFonts w:ascii="Book Antiqua" w:hAnsi="Book Antiqua"/>
          <w:b/>
          <w:bCs/>
        </w:rPr>
      </w:pPr>
      <w:r w:rsidRPr="002F56BB">
        <w:rPr>
          <w:rFonts w:ascii="Book Antiqua" w:hAnsi="Book Antiqua"/>
        </w:rPr>
        <w:t xml:space="preserve">Vienlaikus, pamatojoties uz iepriekš norādītu, arī </w:t>
      </w:r>
      <w:r w:rsidRPr="002F56BB">
        <w:rPr>
          <w:rFonts w:ascii="Book Antiqua" w:hAnsi="Book Antiqua"/>
          <w:b/>
          <w:bCs/>
        </w:rPr>
        <w:t>Projekta 9. punkts būtu izsakāms šādā redakcijā:</w:t>
      </w:r>
    </w:p>
    <w:p w14:paraId="1BBA0BD3" w14:textId="77777777" w:rsidR="00EF636E" w:rsidRPr="002F56BB" w:rsidRDefault="00EF636E" w:rsidP="00EF636E">
      <w:pPr>
        <w:spacing w:after="0" w:line="240" w:lineRule="auto"/>
        <w:ind w:firstLine="720"/>
        <w:jc w:val="both"/>
        <w:rPr>
          <w:rFonts w:ascii="Book Antiqua" w:hAnsi="Book Antiqua"/>
          <w:b/>
          <w:bCs/>
        </w:rPr>
      </w:pPr>
      <w:r w:rsidRPr="002F56BB">
        <w:rPr>
          <w:rFonts w:ascii="Book Antiqua" w:hAnsi="Book Antiqua"/>
          <w:b/>
          <w:bCs/>
        </w:rPr>
        <w:t xml:space="preserve">„9. Izrakto </w:t>
      </w:r>
      <w:proofErr w:type="spellStart"/>
      <w:r w:rsidRPr="002F56BB">
        <w:rPr>
          <w:rFonts w:ascii="Book Antiqua" w:hAnsi="Book Antiqua"/>
          <w:b/>
          <w:bCs/>
        </w:rPr>
        <w:t>tilpju</w:t>
      </w:r>
      <w:proofErr w:type="spellEnd"/>
      <w:r w:rsidRPr="002F56BB">
        <w:rPr>
          <w:rFonts w:ascii="Book Antiqua" w:hAnsi="Book Antiqua"/>
          <w:b/>
          <w:bCs/>
        </w:rPr>
        <w:t xml:space="preserve"> aizpildīšanas vai citu materiālu reģenerācijas darbību veicēji nodrošina, ka šī darbībām izmantoto atkritumu daudzumu svara vienībās uzskaita atsevišķi no to atkritumu daudzuma svara vienībās, kas sagatavoti atkārtotai izmantošanai vai pārstrādāti.”</w:t>
      </w:r>
    </w:p>
    <w:p w14:paraId="4B6459BF" w14:textId="77777777" w:rsidR="00EF636E" w:rsidRPr="002F56BB" w:rsidRDefault="00EF636E" w:rsidP="00EF636E">
      <w:pPr>
        <w:spacing w:after="0" w:line="240" w:lineRule="auto"/>
        <w:ind w:firstLine="720"/>
        <w:jc w:val="both"/>
        <w:rPr>
          <w:rFonts w:ascii="Book Antiqua" w:hAnsi="Book Antiqua"/>
        </w:rPr>
      </w:pPr>
      <w:r w:rsidRPr="002F56BB">
        <w:rPr>
          <w:rFonts w:ascii="Book Antiqua" w:hAnsi="Book Antiqua"/>
        </w:rPr>
        <w:t>Tāpat, LASUA ieskatā, ir nepieciešamas precizēt Projekta anotāciju, lai tā sinhronizētos ar šīs vēstules 1. punktā paustajiem ierosinājumiem.</w:t>
      </w:r>
    </w:p>
    <w:p w14:paraId="63D3C1C9" w14:textId="77777777" w:rsidR="00EF636E" w:rsidRPr="002F56BB" w:rsidRDefault="00EF636E" w:rsidP="00EF636E">
      <w:pPr>
        <w:spacing w:after="0" w:line="240" w:lineRule="auto"/>
        <w:ind w:firstLine="720"/>
        <w:jc w:val="both"/>
        <w:rPr>
          <w:rFonts w:ascii="Book Antiqua" w:hAnsi="Book Antiqua"/>
        </w:rPr>
      </w:pPr>
      <w:r w:rsidRPr="002F56BB">
        <w:rPr>
          <w:rFonts w:ascii="Book Antiqua" w:hAnsi="Book Antiqua"/>
          <w:b/>
          <w:bCs/>
        </w:rPr>
        <w:t>[2]</w:t>
      </w:r>
      <w:r w:rsidRPr="002F56BB">
        <w:rPr>
          <w:rFonts w:ascii="Book Antiqua" w:hAnsi="Book Antiqua"/>
        </w:rPr>
        <w:t xml:space="preserve"> Projekta 7. un 8. punktā ir skaidroti tādi reģenerācijas veidu jēdzieni kā „izrakto </w:t>
      </w:r>
      <w:proofErr w:type="spellStart"/>
      <w:r w:rsidRPr="002F56BB">
        <w:rPr>
          <w:rFonts w:ascii="Book Antiqua" w:hAnsi="Book Antiqua"/>
        </w:rPr>
        <w:t>tilpju</w:t>
      </w:r>
      <w:proofErr w:type="spellEnd"/>
      <w:r w:rsidRPr="002F56BB">
        <w:rPr>
          <w:rFonts w:ascii="Book Antiqua" w:hAnsi="Book Antiqua"/>
        </w:rPr>
        <w:t xml:space="preserve"> aizpildīšana” un „materiālu reģenerācija”. LASUA vēlas vērst uzmanību uz to, ka atkritumu reģenerācijas veidi ir noteikti Ministru kabineta 2011. gada 26. aprīļa noteikumos Nr. 319 “Noteikumi par atkritumu reģenerācijas un apglabāšanas veidiem”, turpmāk – </w:t>
      </w:r>
      <w:r w:rsidRPr="002F56BB">
        <w:rPr>
          <w:rFonts w:ascii="Book Antiqua" w:hAnsi="Book Antiqua"/>
          <w:b/>
          <w:bCs/>
        </w:rPr>
        <w:t>Noteikumi Nr. 319</w:t>
      </w:r>
      <w:r w:rsidRPr="002F56BB">
        <w:rPr>
          <w:rFonts w:ascii="Book Antiqua" w:hAnsi="Book Antiqua"/>
        </w:rPr>
        <w:t xml:space="preserve">, līdz ar to </w:t>
      </w:r>
      <w:r>
        <w:rPr>
          <w:rFonts w:ascii="Book Antiqua" w:hAnsi="Book Antiqua"/>
        </w:rPr>
        <w:t xml:space="preserve">nav </w:t>
      </w:r>
      <w:r w:rsidRPr="002F56BB">
        <w:rPr>
          <w:rFonts w:ascii="Book Antiqua" w:hAnsi="Book Antiqua"/>
        </w:rPr>
        <w:t>loģisk</w:t>
      </w:r>
      <w:r>
        <w:rPr>
          <w:rFonts w:ascii="Book Antiqua" w:hAnsi="Book Antiqua"/>
        </w:rPr>
        <w:t xml:space="preserve">i </w:t>
      </w:r>
      <w:r w:rsidRPr="002F56BB">
        <w:rPr>
          <w:rFonts w:ascii="Book Antiqua" w:hAnsi="Book Antiqua"/>
        </w:rPr>
        <w:t>atkritumu reģenerācijas darbību izņēmumus norādīt</w:t>
      </w:r>
      <w:r>
        <w:rPr>
          <w:rFonts w:ascii="Book Antiqua" w:hAnsi="Book Antiqua"/>
        </w:rPr>
        <w:t xml:space="preserve"> </w:t>
      </w:r>
      <w:r w:rsidRPr="002F56BB">
        <w:rPr>
          <w:rFonts w:ascii="Book Antiqua" w:hAnsi="Book Antiqua"/>
        </w:rPr>
        <w:t>Projektā, jo reģenerācijas darbības atbilstoši normatīvajiem aktiem var tikt veiktas, ja no kompetentās iestādes ir saņemta attiecīga atļauja ar tajā izvirzītajiem nosacījumiem.</w:t>
      </w:r>
    </w:p>
    <w:p w14:paraId="4DBE2E36" w14:textId="77777777" w:rsidR="00EF636E" w:rsidRPr="002F56BB" w:rsidRDefault="00EF636E" w:rsidP="00EF636E">
      <w:pPr>
        <w:spacing w:after="0" w:line="240" w:lineRule="auto"/>
        <w:ind w:firstLine="720"/>
        <w:jc w:val="both"/>
        <w:rPr>
          <w:rFonts w:ascii="Book Antiqua" w:hAnsi="Book Antiqua"/>
        </w:rPr>
      </w:pPr>
      <w:r w:rsidRPr="002F56BB">
        <w:rPr>
          <w:rFonts w:ascii="Book Antiqua" w:hAnsi="Book Antiqua"/>
          <w:b/>
          <w:bCs/>
        </w:rPr>
        <w:t>[3]</w:t>
      </w:r>
      <w:r w:rsidRPr="002F56BB">
        <w:rPr>
          <w:rFonts w:ascii="Book Antiqua" w:hAnsi="Book Antiqua"/>
        </w:rPr>
        <w:t xml:space="preserve"> Pašreizējā Projekta redakcijā Projekta 11.5. apakšpunkts ir izteikts, </w:t>
      </w:r>
      <w:proofErr w:type="spellStart"/>
      <w:r w:rsidRPr="002F56BB">
        <w:rPr>
          <w:rFonts w:ascii="Book Antiqua" w:hAnsi="Book Antiqua"/>
        </w:rPr>
        <w:t>ņemtot</w:t>
      </w:r>
      <w:proofErr w:type="spellEnd"/>
      <w:r w:rsidRPr="002F56BB">
        <w:rPr>
          <w:rFonts w:ascii="Book Antiqua" w:hAnsi="Book Antiqua"/>
        </w:rPr>
        <w:t xml:space="preserve"> vērā Eiropas Parlamenta un Padomes direktīvas 2018/851, ar ko groza Direktīvu 2008/98 par atkritumiem, preambulas </w:t>
      </w:r>
      <w:r w:rsidRPr="002F56BB">
        <w:rPr>
          <w:rFonts w:ascii="Book Antiqua" w:hAnsi="Book Antiqua"/>
          <w:bCs/>
        </w:rPr>
        <w:t xml:space="preserve">46. punktā noteikto, kā arī faktu, ka </w:t>
      </w:r>
      <w:r w:rsidRPr="002F56BB">
        <w:rPr>
          <w:rFonts w:ascii="Book Antiqua" w:eastAsia="Calibri" w:hAnsi="Book Antiqua" w:cstheme="minorHAnsi"/>
          <w:bCs/>
          <w:lang w:eastAsia="lv-LV"/>
        </w:rPr>
        <w:t>bioloģisko</w:t>
      </w:r>
      <w:r w:rsidRPr="002F56BB">
        <w:rPr>
          <w:rFonts w:ascii="Book Antiqua" w:eastAsia="Calibri" w:hAnsi="Book Antiqua" w:cstheme="minorHAnsi"/>
          <w:lang w:eastAsia="lv-LV"/>
        </w:rPr>
        <w:t xml:space="preserve"> atkritumu pārstrādes procesā </w:t>
      </w:r>
      <w:r w:rsidRPr="002F56BB">
        <w:rPr>
          <w:rFonts w:ascii="Book Antiqua" w:eastAsia="Times New Roman" w:hAnsi="Book Antiqua" w:cs="Times New Roman"/>
        </w:rPr>
        <w:t>gan anaerobā, gan aerobā fāzē</w:t>
      </w:r>
      <w:r w:rsidRPr="002F56BB">
        <w:rPr>
          <w:rFonts w:ascii="Book Antiqua" w:eastAsia="Calibri" w:hAnsi="Book Antiqua" w:cstheme="minorHAnsi"/>
          <w:lang w:eastAsia="lv-LV"/>
        </w:rPr>
        <w:t xml:space="preserve"> objektīvi rodas ievērojams masas zudums </w:t>
      </w:r>
      <w:r w:rsidRPr="002F56BB">
        <w:rPr>
          <w:rFonts w:ascii="Book Antiqua" w:eastAsia="Times New Roman" w:hAnsi="Book Antiqua" w:cs="Times New Roman"/>
        </w:rPr>
        <w:t>caur biogāzes un mitruma (ūdens) izdalīšanos anaerobā fāzē un oglekļa dioksīda un mitruma izdalīšanos (vai papildu pievienošanu) aerobā fāzē</w:t>
      </w:r>
      <w:r w:rsidRPr="002F56BB">
        <w:rPr>
          <w:rFonts w:ascii="Book Antiqua" w:eastAsia="Calibri" w:hAnsi="Book Antiqua" w:cstheme="minorHAnsi"/>
          <w:lang w:eastAsia="lv-LV"/>
        </w:rPr>
        <w:t>, kā rezultātā atkritumu masas zudums var būt pat līdz 30-40%</w:t>
      </w:r>
      <w:r w:rsidRPr="002F56BB">
        <w:rPr>
          <w:rFonts w:ascii="Book Antiqua" w:eastAsia="Calibri" w:hAnsi="Book Antiqua" w:cstheme="minorHAnsi"/>
          <w:bCs/>
          <w:lang w:eastAsia="lv-LV"/>
        </w:rPr>
        <w:t xml:space="preserve">. LASUA piekrīt un atbalsta, ka, aprēķinot </w:t>
      </w:r>
      <w:r w:rsidRPr="002F56BB">
        <w:rPr>
          <w:rFonts w:ascii="Book Antiqua" w:hAnsi="Book Antiqua"/>
        </w:rPr>
        <w:t>pārstrādāto sadzīves bioloģisko atkritumu daudzumu svara vienībās, ir jāņem vērā (jāieskaita) pārstrādāto atkritumu masas zudums, kas radies atkritumu aerobās vai anaerobās pārstrādes procesā fizikālo un ķīmisko pārvērtību rezultātā.</w:t>
      </w:r>
    </w:p>
    <w:p w14:paraId="13FFA091" w14:textId="77777777" w:rsidR="00EF636E" w:rsidRDefault="00EF636E" w:rsidP="00EF636E">
      <w:pPr>
        <w:spacing w:after="0" w:line="240" w:lineRule="auto"/>
        <w:ind w:firstLine="720"/>
        <w:jc w:val="both"/>
        <w:rPr>
          <w:rFonts w:ascii="Book Antiqua" w:hAnsi="Book Antiqua"/>
          <w:szCs w:val="28"/>
          <w:u w:val="single"/>
        </w:rPr>
      </w:pPr>
      <w:r w:rsidRPr="002F56BB">
        <w:rPr>
          <w:rFonts w:ascii="Book Antiqua" w:hAnsi="Book Antiqua"/>
        </w:rPr>
        <w:t>Tomēr, vērtējot Projekta 11.5.1. apakšpunktu, kurā norādīts, ka a</w:t>
      </w:r>
      <w:r w:rsidRPr="002F56BB">
        <w:rPr>
          <w:rFonts w:ascii="Book Antiqua" w:hAnsi="Book Antiqua"/>
          <w:szCs w:val="28"/>
        </w:rPr>
        <w:t xml:space="preserve">erobā vai </w:t>
      </w:r>
      <w:proofErr w:type="spellStart"/>
      <w:r w:rsidRPr="002F56BB">
        <w:rPr>
          <w:rFonts w:ascii="Book Antiqua" w:hAnsi="Book Antiqua"/>
          <w:szCs w:val="28"/>
        </w:rPr>
        <w:t>anerobā</w:t>
      </w:r>
      <w:proofErr w:type="spellEnd"/>
      <w:r w:rsidRPr="002F56BB">
        <w:rPr>
          <w:rFonts w:ascii="Book Antiqua" w:hAnsi="Book Antiqua"/>
          <w:szCs w:val="28"/>
        </w:rPr>
        <w:t xml:space="preserve"> atkritumu pārstrādes procesā ievadīto bioloģiski noārdāmu sadzīves atkritumu daudzumu var ieskaitīt kā pārstrādātu, ja </w:t>
      </w:r>
      <w:proofErr w:type="spellStart"/>
      <w:r w:rsidRPr="002F56BB">
        <w:rPr>
          <w:rFonts w:ascii="Book Antiqua" w:hAnsi="Book Antiqua"/>
          <w:szCs w:val="28"/>
        </w:rPr>
        <w:t>aeorbās</w:t>
      </w:r>
      <w:proofErr w:type="spellEnd"/>
      <w:r w:rsidRPr="002F56BB">
        <w:rPr>
          <w:rFonts w:ascii="Book Antiqua" w:hAnsi="Book Antiqua"/>
          <w:szCs w:val="28"/>
        </w:rPr>
        <w:t xml:space="preserve"> vai anaerobās  pārstrādes  rezultātā ir iegūts komposts, </w:t>
      </w:r>
      <w:proofErr w:type="spellStart"/>
      <w:r w:rsidRPr="002F56BB">
        <w:rPr>
          <w:rFonts w:ascii="Book Antiqua" w:hAnsi="Book Antiqua"/>
          <w:szCs w:val="28"/>
        </w:rPr>
        <w:t>digestāts</w:t>
      </w:r>
      <w:proofErr w:type="spellEnd"/>
      <w:r w:rsidRPr="002F56BB">
        <w:rPr>
          <w:rFonts w:ascii="Book Antiqua" w:hAnsi="Book Antiqua"/>
          <w:szCs w:val="28"/>
        </w:rPr>
        <w:t xml:space="preserve"> vai cits materiāls, </w:t>
      </w:r>
      <w:r w:rsidRPr="002F56BB">
        <w:rPr>
          <w:rFonts w:ascii="Book Antiqua" w:hAnsi="Book Antiqua"/>
          <w:szCs w:val="28"/>
          <w:u w:val="single"/>
        </w:rPr>
        <w:t xml:space="preserve">kuram ir līdzīgs pārstrādātā </w:t>
      </w:r>
    </w:p>
    <w:p w14:paraId="50BF9113" w14:textId="77777777" w:rsidR="00EF636E" w:rsidRDefault="00EF636E" w:rsidP="00EF636E">
      <w:pPr>
        <w:spacing w:after="0" w:line="240" w:lineRule="auto"/>
        <w:ind w:firstLine="720"/>
        <w:jc w:val="both"/>
        <w:rPr>
          <w:rFonts w:ascii="Book Antiqua" w:hAnsi="Book Antiqua"/>
          <w:szCs w:val="28"/>
          <w:u w:val="single"/>
        </w:rPr>
      </w:pPr>
    </w:p>
    <w:p w14:paraId="602D5ACB" w14:textId="77777777" w:rsidR="00EF636E" w:rsidRDefault="00EF636E" w:rsidP="00EF636E">
      <w:pPr>
        <w:spacing w:after="0" w:line="240" w:lineRule="auto"/>
        <w:ind w:firstLine="720"/>
        <w:jc w:val="both"/>
        <w:rPr>
          <w:rFonts w:ascii="Book Antiqua" w:hAnsi="Book Antiqua"/>
          <w:szCs w:val="28"/>
          <w:u w:val="single"/>
        </w:rPr>
      </w:pPr>
    </w:p>
    <w:p w14:paraId="4701163B" w14:textId="77777777" w:rsidR="00EF636E" w:rsidRDefault="00EF636E" w:rsidP="00EF636E">
      <w:pPr>
        <w:spacing w:after="0" w:line="240" w:lineRule="auto"/>
        <w:ind w:firstLine="720"/>
        <w:jc w:val="both"/>
        <w:rPr>
          <w:rFonts w:ascii="Book Antiqua" w:hAnsi="Book Antiqua"/>
          <w:szCs w:val="28"/>
          <w:u w:val="single"/>
        </w:rPr>
      </w:pPr>
    </w:p>
    <w:p w14:paraId="0FBEB246" w14:textId="77777777" w:rsidR="00EF636E" w:rsidRDefault="00EF636E" w:rsidP="00EF636E">
      <w:pPr>
        <w:spacing w:after="0" w:line="240" w:lineRule="auto"/>
        <w:ind w:firstLine="720"/>
        <w:jc w:val="both"/>
        <w:rPr>
          <w:rFonts w:ascii="Book Antiqua" w:hAnsi="Book Antiqua"/>
          <w:szCs w:val="28"/>
          <w:u w:val="single"/>
        </w:rPr>
      </w:pPr>
    </w:p>
    <w:p w14:paraId="21C9DCEE" w14:textId="77777777" w:rsidR="00EF636E" w:rsidRDefault="00EF636E" w:rsidP="00EF636E">
      <w:pPr>
        <w:spacing w:after="0" w:line="240" w:lineRule="auto"/>
        <w:ind w:firstLine="720"/>
        <w:jc w:val="both"/>
        <w:rPr>
          <w:rFonts w:ascii="Book Antiqua" w:hAnsi="Book Antiqua"/>
          <w:szCs w:val="28"/>
          <w:u w:val="single"/>
        </w:rPr>
      </w:pPr>
    </w:p>
    <w:p w14:paraId="582D6476" w14:textId="77777777" w:rsidR="00EF636E" w:rsidRPr="002F56BB" w:rsidRDefault="00EF636E" w:rsidP="00EF636E">
      <w:pPr>
        <w:spacing w:after="0" w:line="240" w:lineRule="auto"/>
        <w:ind w:firstLine="720"/>
        <w:jc w:val="both"/>
        <w:rPr>
          <w:rFonts w:ascii="Book Antiqua" w:hAnsi="Book Antiqua"/>
          <w:szCs w:val="28"/>
        </w:rPr>
      </w:pPr>
      <w:r w:rsidRPr="002F56BB">
        <w:rPr>
          <w:rFonts w:ascii="Book Antiqua" w:hAnsi="Book Antiqua"/>
          <w:szCs w:val="28"/>
          <w:u w:val="single"/>
        </w:rPr>
        <w:t>satura daudzums  salīdzinājumā ar pārstrādes procesā  ievadīto materiālu</w:t>
      </w:r>
      <w:r w:rsidRPr="002F56BB">
        <w:rPr>
          <w:rFonts w:ascii="Book Antiqua" w:hAnsi="Book Antiqua"/>
          <w:szCs w:val="28"/>
        </w:rPr>
        <w:t>, var izdarīt secinājumu, ka pašreizējais Projekta 11.5.1. apakšpunkta formulējums varētu radīt dažādu tiesību normu interpretāciju ar Projekta 11.5. apakšpunktu.</w:t>
      </w:r>
    </w:p>
    <w:p w14:paraId="6073E014" w14:textId="77777777" w:rsidR="00EF636E" w:rsidRPr="002F56BB" w:rsidRDefault="00EF636E" w:rsidP="00EF636E">
      <w:pPr>
        <w:spacing w:after="0" w:line="240" w:lineRule="auto"/>
        <w:ind w:firstLine="720"/>
        <w:jc w:val="both"/>
        <w:rPr>
          <w:rFonts w:ascii="Book Antiqua" w:hAnsi="Book Antiqua"/>
        </w:rPr>
      </w:pPr>
      <w:r w:rsidRPr="002F56BB">
        <w:rPr>
          <w:rFonts w:ascii="Book Antiqua" w:hAnsi="Book Antiqua"/>
        </w:rPr>
        <w:t xml:space="preserve">Kā jau LASUA ir paudusi savā iepriekšējā atzinumā, tad, ņemot vērā Projekta 11.5. apakšpunktā veiktos papildinājumus, kā arī Projekta anotācijā norādīto, kas paredz, ka, nosakot atkritumu daudzumu, tiek ņemts vērā atkritumu masas zudums, kas rodas atkritumu aerobās </w:t>
      </w:r>
      <w:proofErr w:type="spellStart"/>
      <w:r w:rsidRPr="002F56BB">
        <w:rPr>
          <w:rFonts w:ascii="Book Antiqua" w:hAnsi="Book Antiqua"/>
        </w:rPr>
        <w:t>va</w:t>
      </w:r>
      <w:proofErr w:type="spellEnd"/>
      <w:r w:rsidRPr="002F56BB">
        <w:rPr>
          <w:rFonts w:ascii="Book Antiqua" w:hAnsi="Book Antiqua"/>
        </w:rPr>
        <w:t xml:space="preserve"> </w:t>
      </w:r>
      <w:proofErr w:type="spellStart"/>
      <w:r w:rsidRPr="002F56BB">
        <w:rPr>
          <w:rFonts w:ascii="Book Antiqua" w:hAnsi="Book Antiqua"/>
        </w:rPr>
        <w:t>anaearobās</w:t>
      </w:r>
      <w:proofErr w:type="spellEnd"/>
      <w:r w:rsidRPr="002F56BB">
        <w:rPr>
          <w:rFonts w:ascii="Book Antiqua" w:hAnsi="Book Antiqua"/>
        </w:rPr>
        <w:t xml:space="preserve"> pārstrādes procesā fizikālo un </w:t>
      </w:r>
      <w:proofErr w:type="spellStart"/>
      <w:r w:rsidRPr="002F56BB">
        <w:rPr>
          <w:rFonts w:ascii="Book Antiqua" w:hAnsi="Book Antiqua"/>
        </w:rPr>
        <w:t>ķimisko</w:t>
      </w:r>
      <w:proofErr w:type="spellEnd"/>
      <w:r w:rsidRPr="002F56BB">
        <w:rPr>
          <w:rFonts w:ascii="Book Antiqua" w:hAnsi="Book Antiqua"/>
        </w:rPr>
        <w:t xml:space="preserve"> pārvērtību rezultātā, LASUA ieskatā, lai nepastāvētu iespēja nekorekti interpretēt </w:t>
      </w:r>
      <w:proofErr w:type="spellStart"/>
      <w:r w:rsidRPr="002F56BB">
        <w:rPr>
          <w:rFonts w:ascii="Book Antiqua" w:hAnsi="Book Antiqua"/>
        </w:rPr>
        <w:t>Porjekta</w:t>
      </w:r>
      <w:proofErr w:type="spellEnd"/>
      <w:r w:rsidRPr="002F56BB">
        <w:rPr>
          <w:rFonts w:ascii="Book Antiqua" w:hAnsi="Book Antiqua"/>
        </w:rPr>
        <w:t xml:space="preserve"> 11.5.1. apakšpunktu un tas saskanētu ar papildinātā Projekta 11.5. apakšpunkta jēgu un būtību, Projekta 11.5.1. apakšpunktā un Projekta anotācijas I. sadaļas 2. punkta būtu svītrojami vārdi „kuram ir līdzīgs pārstrādātā satura daudzums svara vienībās salīdzinājumā ar pārstrādes procesā  ievadīto materiālu”. Esošajā izziņā par atzinumos sniegtajiem iebildumiem par Projektu sadaļā „Atbildīgās ministrijas norāde par to, ka iebildums ir ņemts vērā, vai informācija par saskaņošanā panākto alternatīvo risinājumu” ir norādīts, ka LASUA iepriekš ietvertais priekšlikums svītrot vārdus „kuram ir līdzīgs pārstrādātā satura daudzums svara vienībās salīdzinājumā ar pārstrādes procesā  ievadīto materiālu” ir ņemts vērā, tomēr ne Projekta tekstā, ne anotācijā attiecīgais labojums nav veikts.</w:t>
      </w:r>
    </w:p>
    <w:p w14:paraId="5868379B" w14:textId="77777777" w:rsidR="00EF636E" w:rsidRPr="002F56BB" w:rsidRDefault="00EF636E" w:rsidP="00EF636E">
      <w:pPr>
        <w:spacing w:after="0" w:line="240" w:lineRule="auto"/>
        <w:ind w:firstLine="720"/>
        <w:jc w:val="both"/>
        <w:rPr>
          <w:rFonts w:ascii="Book Antiqua" w:hAnsi="Book Antiqua" w:cs="Times New Roman"/>
        </w:rPr>
      </w:pPr>
      <w:r w:rsidRPr="002F56BB">
        <w:rPr>
          <w:rFonts w:ascii="Book Antiqua" w:hAnsi="Book Antiqua" w:cs="Times New Roman"/>
        </w:rPr>
        <w:t xml:space="preserve">Ievērojot visu iepriekš minēto, LASUA atkārtoti vērš uzmanību un ierosina </w:t>
      </w:r>
      <w:r w:rsidRPr="002F56BB">
        <w:rPr>
          <w:rFonts w:ascii="Book Antiqua" w:hAnsi="Book Antiqua"/>
          <w:b/>
          <w:bCs/>
        </w:rPr>
        <w:t>Projekta 11.5.1. apakšpunktā un Projekta anotācijas I. sadaļas 2. punkta svītrot vārdus „kuram ir līdzīgs pārstrādātā satura daudzums svara vienībās salīdzinājumā ar pārstrādes procesā  ievadīto materiālu”.</w:t>
      </w:r>
    </w:p>
    <w:p w14:paraId="312A1511" w14:textId="77777777" w:rsidR="00EF636E" w:rsidRPr="002F56BB" w:rsidRDefault="00EF636E" w:rsidP="00EF636E">
      <w:pPr>
        <w:spacing w:after="0" w:line="240" w:lineRule="auto"/>
        <w:ind w:firstLine="720"/>
        <w:jc w:val="both"/>
        <w:rPr>
          <w:rFonts w:ascii="Book Antiqua" w:hAnsi="Book Antiqua" w:cs="Times New Roman"/>
        </w:rPr>
      </w:pPr>
      <w:r w:rsidRPr="002F56BB">
        <w:rPr>
          <w:rFonts w:ascii="Book Antiqua" w:hAnsi="Book Antiqua" w:cs="Times New Roman"/>
        </w:rPr>
        <w:t>Aicinām ņemt vērā šajā vēstulē minētos LASUA iebildumus un ieteikumus. Vienlaikus darām zināmu, ka šajā vēstulē pausto ierosinājumu un papildinājumu apjoms nav izsmeļošs un tas var tikt papildināts Projekta turpmākās saskaņošanas procesā.</w:t>
      </w:r>
    </w:p>
    <w:p w14:paraId="36770C43" w14:textId="77777777" w:rsidR="00EF636E" w:rsidRPr="002F56BB" w:rsidRDefault="00EF636E" w:rsidP="00EF636E">
      <w:pPr>
        <w:spacing w:after="0" w:line="240" w:lineRule="auto"/>
        <w:jc w:val="both"/>
        <w:rPr>
          <w:rFonts w:ascii="Book Antiqua" w:hAnsi="Book Antiqua" w:cs="Times New Roman"/>
        </w:rPr>
      </w:pPr>
    </w:p>
    <w:p w14:paraId="101E2D13" w14:textId="77777777" w:rsidR="00EF636E" w:rsidRPr="002F56BB" w:rsidRDefault="00EF636E" w:rsidP="00EF636E">
      <w:pPr>
        <w:spacing w:after="0" w:line="240" w:lineRule="auto"/>
        <w:jc w:val="both"/>
        <w:rPr>
          <w:rFonts w:ascii="Book Antiqua" w:hAnsi="Book Antiqua" w:cs="Times New Roman"/>
        </w:rPr>
      </w:pPr>
      <w:r w:rsidRPr="002F56BB">
        <w:rPr>
          <w:rFonts w:ascii="Book Antiqua" w:hAnsi="Book Antiqua" w:cs="Times New Roman"/>
        </w:rPr>
        <w:t>Ar cieņu</w:t>
      </w:r>
    </w:p>
    <w:p w14:paraId="70B3F75C" w14:textId="77777777" w:rsidR="00EF636E" w:rsidRPr="002F56BB" w:rsidRDefault="00EF636E" w:rsidP="00EF636E">
      <w:pPr>
        <w:spacing w:after="0" w:line="240" w:lineRule="auto"/>
        <w:jc w:val="both"/>
        <w:rPr>
          <w:rFonts w:ascii="Book Antiqua" w:hAnsi="Book Antiqua" w:cs="Times New Roman"/>
        </w:rPr>
      </w:pPr>
    </w:p>
    <w:p w14:paraId="43256CDF" w14:textId="77777777" w:rsidR="00EF636E" w:rsidRPr="002F56BB" w:rsidRDefault="00EF636E" w:rsidP="00EF636E">
      <w:pPr>
        <w:spacing w:after="0" w:line="240" w:lineRule="auto"/>
        <w:jc w:val="both"/>
        <w:rPr>
          <w:rFonts w:ascii="Book Antiqua" w:hAnsi="Book Antiqua" w:cs="Times New Roman"/>
        </w:rPr>
      </w:pPr>
    </w:p>
    <w:p w14:paraId="0DCE88F2" w14:textId="77777777" w:rsidR="00EF636E" w:rsidRPr="002F56BB" w:rsidRDefault="00EF636E" w:rsidP="00EF636E">
      <w:pPr>
        <w:spacing w:after="0" w:line="240" w:lineRule="auto"/>
        <w:jc w:val="both"/>
        <w:rPr>
          <w:rFonts w:ascii="Book Antiqua" w:hAnsi="Book Antiqua"/>
          <w:color w:val="000000" w:themeColor="text1"/>
        </w:rPr>
      </w:pPr>
      <w:r w:rsidRPr="002F56BB">
        <w:rPr>
          <w:rFonts w:ascii="Book Antiqua" w:hAnsi="Book Antiqua"/>
          <w:color w:val="000000" w:themeColor="text1"/>
        </w:rPr>
        <w:t>Izpilddirekcijas vadītājs,</w:t>
      </w:r>
    </w:p>
    <w:p w14:paraId="47686EE6" w14:textId="77777777" w:rsidR="00EF636E" w:rsidRPr="002F56BB" w:rsidRDefault="00EF636E" w:rsidP="00EF636E">
      <w:pPr>
        <w:spacing w:after="0" w:line="240" w:lineRule="auto"/>
        <w:jc w:val="both"/>
        <w:rPr>
          <w:rFonts w:ascii="Book Antiqua" w:hAnsi="Book Antiqua"/>
          <w:color w:val="000000" w:themeColor="text1"/>
        </w:rPr>
      </w:pPr>
      <w:r>
        <w:rPr>
          <w:rFonts w:ascii="Book Antiqua" w:hAnsi="Book Antiqua"/>
          <w:color w:val="000000" w:themeColor="text1"/>
        </w:rPr>
        <w:t>Valdes loceklis</w:t>
      </w:r>
      <w:r>
        <w:rPr>
          <w:rFonts w:ascii="Book Antiqua" w:hAnsi="Book Antiqua"/>
          <w:color w:val="000000" w:themeColor="text1"/>
        </w:rPr>
        <w:tab/>
      </w:r>
      <w:r>
        <w:rPr>
          <w:rFonts w:ascii="Book Antiqua" w:hAnsi="Book Antiqua"/>
          <w:color w:val="000000" w:themeColor="text1"/>
        </w:rPr>
        <w:tab/>
      </w:r>
      <w:r w:rsidRPr="002F56BB">
        <w:rPr>
          <w:rFonts w:ascii="Book Antiqua" w:hAnsi="Book Antiqua"/>
          <w:color w:val="000000" w:themeColor="text1"/>
        </w:rPr>
        <w:tab/>
      </w:r>
      <w:r w:rsidRPr="002F56BB">
        <w:rPr>
          <w:rFonts w:ascii="Book Antiqua" w:hAnsi="Book Antiqua"/>
          <w:color w:val="000000" w:themeColor="text1"/>
        </w:rPr>
        <w:tab/>
      </w:r>
      <w:r w:rsidRPr="002F56BB">
        <w:rPr>
          <w:rFonts w:ascii="Book Antiqua" w:hAnsi="Book Antiqua"/>
          <w:color w:val="000000" w:themeColor="text1"/>
        </w:rPr>
        <w:tab/>
      </w:r>
      <w:r w:rsidRPr="002F56BB">
        <w:rPr>
          <w:rFonts w:ascii="Book Antiqua" w:hAnsi="Book Antiqua"/>
          <w:color w:val="000000" w:themeColor="text1"/>
        </w:rPr>
        <w:tab/>
        <w:t>Armands Nikolajevs</w:t>
      </w:r>
    </w:p>
    <w:p w14:paraId="0C73563C" w14:textId="77777777" w:rsidR="00EF636E" w:rsidRPr="002F56BB" w:rsidRDefault="00EF636E" w:rsidP="00EF636E">
      <w:pPr>
        <w:spacing w:after="0" w:line="240" w:lineRule="auto"/>
        <w:jc w:val="both"/>
        <w:rPr>
          <w:rFonts w:ascii="Book Antiqua" w:hAnsi="Book Antiqua" w:cs="Times New Roman"/>
        </w:rPr>
      </w:pPr>
    </w:p>
    <w:p w14:paraId="3FBFE5C2" w14:textId="77777777" w:rsidR="00EF636E" w:rsidRPr="002F56BB" w:rsidRDefault="00EF636E" w:rsidP="00EF636E">
      <w:pPr>
        <w:spacing w:after="0" w:line="240" w:lineRule="auto"/>
        <w:jc w:val="both"/>
        <w:rPr>
          <w:rFonts w:ascii="Book Antiqua" w:hAnsi="Book Antiqua" w:cs="Times New Roman"/>
        </w:rPr>
      </w:pPr>
    </w:p>
    <w:p w14:paraId="3FDE1287" w14:textId="77777777" w:rsidR="00EF636E" w:rsidRPr="002F56BB" w:rsidRDefault="00EF636E" w:rsidP="00EF636E">
      <w:pPr>
        <w:spacing w:after="0" w:line="240" w:lineRule="auto"/>
        <w:jc w:val="center"/>
        <w:rPr>
          <w:rFonts w:ascii="Book Antiqua" w:hAnsi="Book Antiqua"/>
          <w:i/>
          <w:iCs/>
          <w:smallCaps/>
        </w:rPr>
      </w:pPr>
      <w:r w:rsidRPr="002F56BB">
        <w:rPr>
          <w:rFonts w:ascii="Book Antiqua" w:hAnsi="Book Antiqua" w:cs="Times New Roman"/>
          <w:i/>
          <w:iCs/>
        </w:rPr>
        <w:t>Dokuments parakstīts ar drošu elektronisko parakstu un satur laika zīmogu</w:t>
      </w:r>
    </w:p>
    <w:p w14:paraId="457990B8" w14:textId="77777777" w:rsidR="00EF636E" w:rsidRPr="002F56BB" w:rsidRDefault="00EF636E" w:rsidP="00EF636E">
      <w:pPr>
        <w:spacing w:after="0" w:line="240" w:lineRule="auto"/>
        <w:rPr>
          <w:rFonts w:ascii="Book Antiqua" w:hAnsi="Book Antiqua"/>
        </w:rPr>
      </w:pPr>
    </w:p>
    <w:p w14:paraId="63B1CE37" w14:textId="77777777" w:rsidR="002678E7" w:rsidRDefault="002678E7" w:rsidP="00EF636E">
      <w:pPr>
        <w:spacing w:after="0" w:line="240" w:lineRule="auto"/>
      </w:pPr>
    </w:p>
    <w:sectPr w:rsidR="002678E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4F21" w14:textId="77777777" w:rsidR="007B5884" w:rsidRDefault="007B5884" w:rsidP="00B64C6F">
      <w:pPr>
        <w:spacing w:after="0" w:line="240" w:lineRule="auto"/>
      </w:pPr>
      <w:r>
        <w:separator/>
      </w:r>
    </w:p>
  </w:endnote>
  <w:endnote w:type="continuationSeparator" w:id="0">
    <w:p w14:paraId="5B92B8C4" w14:textId="77777777" w:rsidR="007B5884" w:rsidRDefault="007B5884" w:rsidP="00B6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CF4A" w14:textId="77777777" w:rsidR="00B64C6F" w:rsidRDefault="00B64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101B" w14:textId="77777777" w:rsidR="00B64C6F" w:rsidRDefault="00B64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2392" w14:textId="77777777" w:rsidR="00B64C6F" w:rsidRDefault="00B6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F8FC" w14:textId="77777777" w:rsidR="007B5884" w:rsidRDefault="007B5884" w:rsidP="00B64C6F">
      <w:pPr>
        <w:spacing w:after="0" w:line="240" w:lineRule="auto"/>
      </w:pPr>
      <w:r>
        <w:separator/>
      </w:r>
    </w:p>
  </w:footnote>
  <w:footnote w:type="continuationSeparator" w:id="0">
    <w:p w14:paraId="600CF277" w14:textId="77777777" w:rsidR="007B5884" w:rsidRDefault="007B5884" w:rsidP="00B6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55F" w14:textId="77777777" w:rsidR="00B64C6F" w:rsidRDefault="0083779A">
    <w:pPr>
      <w:pStyle w:val="Header"/>
    </w:pPr>
    <w:r>
      <w:rPr>
        <w:noProof/>
      </w:rPr>
      <w:pict w14:anchorId="3D699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18286" o:spid="_x0000_s2053" type="#_x0000_t75" style="position:absolute;margin-left:0;margin-top:0;width:565.9pt;height:800pt;z-index:-251657216;mso-position-horizontal:center;mso-position-horizontal-relative:margin;mso-position-vertical:center;mso-position-vertical-relative:margin" o:allowincell="f">
          <v:imagedata r:id="rId1" o:title="LASUA_veidlapa_202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F9E2" w14:textId="77777777" w:rsidR="00B64C6F" w:rsidRDefault="0083779A">
    <w:pPr>
      <w:pStyle w:val="Header"/>
    </w:pPr>
    <w:r>
      <w:rPr>
        <w:noProof/>
      </w:rPr>
      <w:pict w14:anchorId="16ACC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18287" o:spid="_x0000_s2054" type="#_x0000_t75" style="position:absolute;margin-left:0;margin-top:0;width:565.9pt;height:800pt;z-index:-251656192;mso-position-horizontal:center;mso-position-horizontal-relative:margin;mso-position-vertical:center;mso-position-vertical-relative:margin" o:allowincell="f">
          <v:imagedata r:id="rId1" o:title="LASUA_veidlapa_202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FFE9" w14:textId="77777777" w:rsidR="00B64C6F" w:rsidRDefault="0083779A">
    <w:pPr>
      <w:pStyle w:val="Header"/>
    </w:pPr>
    <w:r>
      <w:rPr>
        <w:noProof/>
      </w:rPr>
      <w:pict w14:anchorId="7C904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18285" o:spid="_x0000_s2052" type="#_x0000_t75" style="position:absolute;margin-left:0;margin-top:0;width:565.9pt;height:800pt;z-index:-251658240;mso-position-horizontal:center;mso-position-horizontal-relative:margin;mso-position-vertical:center;mso-position-vertical-relative:margin" o:allowincell="f">
          <v:imagedata r:id="rId1" o:title="LASUA_veidlapa_202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50F"/>
    <w:multiLevelType w:val="hybridMultilevel"/>
    <w:tmpl w:val="D430E6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B001DA"/>
    <w:multiLevelType w:val="hybridMultilevel"/>
    <w:tmpl w:val="84E83474"/>
    <w:lvl w:ilvl="0" w:tplc="1090E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6C"/>
    <w:rsid w:val="00105671"/>
    <w:rsid w:val="00265698"/>
    <w:rsid w:val="002678E7"/>
    <w:rsid w:val="002A0B0D"/>
    <w:rsid w:val="003B7162"/>
    <w:rsid w:val="00462B31"/>
    <w:rsid w:val="00465769"/>
    <w:rsid w:val="004B1E93"/>
    <w:rsid w:val="00534877"/>
    <w:rsid w:val="00553DE7"/>
    <w:rsid w:val="006926FF"/>
    <w:rsid w:val="006B4EE8"/>
    <w:rsid w:val="0077646C"/>
    <w:rsid w:val="007B5884"/>
    <w:rsid w:val="007C2A31"/>
    <w:rsid w:val="0083779A"/>
    <w:rsid w:val="0084471B"/>
    <w:rsid w:val="009B7C81"/>
    <w:rsid w:val="00AC2E38"/>
    <w:rsid w:val="00B64C6F"/>
    <w:rsid w:val="00C12B52"/>
    <w:rsid w:val="00CC5A7A"/>
    <w:rsid w:val="00E308BE"/>
    <w:rsid w:val="00E41131"/>
    <w:rsid w:val="00ED4080"/>
    <w:rsid w:val="00EF636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969976"/>
  <w15:docId w15:val="{0ACD82BF-3570-416E-8FA0-7730F122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33D74"/>
    <w:rPr>
      <w:rFonts w:ascii="Segoe UI" w:hAnsi="Segoe UI" w:cs="Segoe UI"/>
      <w:sz w:val="18"/>
      <w:szCs w:val="18"/>
    </w:rPr>
  </w:style>
  <w:style w:type="character" w:customStyle="1" w:styleId="HeaderChar">
    <w:name w:val="Header Char"/>
    <w:basedOn w:val="DefaultParagraphFont"/>
    <w:link w:val="Header"/>
    <w:uiPriority w:val="99"/>
    <w:rsid w:val="00C33D74"/>
  </w:style>
  <w:style w:type="character" w:customStyle="1" w:styleId="FooterChar">
    <w:name w:val="Footer Char"/>
    <w:basedOn w:val="DefaultParagraphFont"/>
    <w:link w:val="Footer"/>
    <w:uiPriority w:val="99"/>
    <w:rsid w:val="00C33D74"/>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link w:val="BalloonTextChar"/>
    <w:uiPriority w:val="99"/>
    <w:semiHidden/>
    <w:unhideWhenUsed/>
    <w:rsid w:val="00C33D74"/>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C33D74"/>
    <w:pPr>
      <w:tabs>
        <w:tab w:val="center" w:pos="4153"/>
        <w:tab w:val="right" w:pos="8306"/>
      </w:tabs>
      <w:spacing w:after="0" w:line="240" w:lineRule="auto"/>
    </w:pPr>
  </w:style>
  <w:style w:type="paragraph" w:styleId="Footer">
    <w:name w:val="footer"/>
    <w:basedOn w:val="Normal"/>
    <w:link w:val="FooterChar"/>
    <w:uiPriority w:val="99"/>
    <w:unhideWhenUsed/>
    <w:rsid w:val="00C33D74"/>
    <w:pPr>
      <w:tabs>
        <w:tab w:val="center" w:pos="4153"/>
        <w:tab w:val="right" w:pos="8306"/>
      </w:tabs>
      <w:spacing w:after="0" w:line="240" w:lineRule="auto"/>
    </w:pPr>
  </w:style>
  <w:style w:type="paragraph" w:customStyle="1" w:styleId="Contenudetableau">
    <w:name w:val="Contenu de tableau"/>
    <w:basedOn w:val="Normal"/>
    <w:rsid w:val="006926FF"/>
    <w:pPr>
      <w:suppressLineNumbers/>
      <w:spacing w:after="0" w:line="240" w:lineRule="auto"/>
    </w:pPr>
    <w:rPr>
      <w:rFonts w:ascii="Times New Roman" w:eastAsia="SimSun" w:hAnsi="Times New Roman" w:cs="Times New Roman"/>
      <w:sz w:val="24"/>
      <w:szCs w:val="24"/>
      <w:lang w:val="en-GB" w:eastAsia="en-GB"/>
    </w:rPr>
  </w:style>
  <w:style w:type="paragraph" w:styleId="ListParagraph">
    <w:name w:val="List Paragraph"/>
    <w:basedOn w:val="Normal"/>
    <w:uiPriority w:val="34"/>
    <w:qFormat/>
    <w:rsid w:val="006926FF"/>
    <w:pPr>
      <w:suppressAutoHyphens w:val="0"/>
      <w:spacing w:after="200"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553DE7"/>
    <w:rPr>
      <w:color w:val="0563C1" w:themeColor="hyperlink"/>
      <w:u w:val="single"/>
    </w:rPr>
  </w:style>
  <w:style w:type="paragraph" w:customStyle="1" w:styleId="liknoteik">
    <w:name w:val="lik_noteik"/>
    <w:basedOn w:val="Normal"/>
    <w:rsid w:val="007C2A31"/>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462B31"/>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qFormat/>
    <w:rsid w:val="00E308BE"/>
    <w:pPr>
      <w:suppressAutoHyphens w:val="0"/>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qFormat/>
    <w:rsid w:val="00E308BE"/>
    <w:rPr>
      <w:rFonts w:ascii="Calibri" w:hAnsi="Calibri" w:cs="Consolas"/>
      <w:szCs w:val="21"/>
      <w:lang w:val="en-US"/>
    </w:rPr>
  </w:style>
  <w:style w:type="character" w:styleId="Strong">
    <w:name w:val="Strong"/>
    <w:basedOn w:val="DefaultParagraphFont"/>
    <w:qFormat/>
    <w:rsid w:val="00E308BE"/>
    <w:rPr>
      <w:b/>
      <w:bCs/>
    </w:rPr>
  </w:style>
  <w:style w:type="paragraph" w:customStyle="1" w:styleId="norm">
    <w:name w:val="norm"/>
    <w:basedOn w:val="Normal"/>
    <w:rsid w:val="00105671"/>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ts@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5333</Words>
  <Characters>3041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Ilze Doniņa</cp:lastModifiedBy>
  <cp:revision>2</cp:revision>
  <cp:lastPrinted>2020-11-11T07:30:00Z</cp:lastPrinted>
  <dcterms:created xsi:type="dcterms:W3CDTF">2021-07-29T10:53:00Z</dcterms:created>
  <dcterms:modified xsi:type="dcterms:W3CDTF">2021-07-29T10:53:00Z</dcterms:modified>
  <dc:language>lv-LV</dc:language>
</cp:coreProperties>
</file>