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C1C29" w14:textId="0B5EF626" w:rsidR="00830970" w:rsidRDefault="00830970" w:rsidP="00F134BD"/>
    <w:p w14:paraId="4D8ACD05" w14:textId="37A0080B" w:rsidR="00630709" w:rsidRDefault="00630709" w:rsidP="00630709">
      <w:pPr>
        <w:jc w:val="right"/>
        <w:rPr>
          <w:b/>
          <w:bCs/>
        </w:rPr>
      </w:pPr>
      <w:r w:rsidRPr="00630709">
        <w:rPr>
          <w:b/>
          <w:bCs/>
        </w:rPr>
        <w:t>Iekšlietu ministrijai</w:t>
      </w:r>
    </w:p>
    <w:p w14:paraId="1161588E" w14:textId="5E8EE8CC" w:rsidR="00630709" w:rsidRDefault="00630709" w:rsidP="00630709">
      <w:pPr>
        <w:pStyle w:val="Bezatstarpm"/>
      </w:pPr>
    </w:p>
    <w:p w14:paraId="00F6397E" w14:textId="77777777" w:rsidR="00630709" w:rsidRDefault="00630709" w:rsidP="00630709">
      <w:pPr>
        <w:pStyle w:val="Bezatstarpm"/>
        <w:rPr>
          <w:i/>
          <w:iCs/>
        </w:rPr>
      </w:pPr>
    </w:p>
    <w:p w14:paraId="51D9A9AC" w14:textId="7BDA4E2E" w:rsidR="00630709" w:rsidRPr="00630709" w:rsidRDefault="00630709" w:rsidP="00630709">
      <w:pPr>
        <w:pStyle w:val="Bezatstarpm"/>
        <w:rPr>
          <w:i/>
          <w:iCs/>
        </w:rPr>
      </w:pPr>
      <w:r w:rsidRPr="00630709">
        <w:rPr>
          <w:i/>
          <w:iCs/>
        </w:rPr>
        <w:t xml:space="preserve">Par Ministru kabineta noteikumu projektu </w:t>
      </w:r>
    </w:p>
    <w:p w14:paraId="4044360F" w14:textId="77777777" w:rsidR="00630709" w:rsidRPr="00630709" w:rsidRDefault="00630709" w:rsidP="00630709">
      <w:pPr>
        <w:pStyle w:val="Bezatstarpm"/>
        <w:rPr>
          <w:i/>
          <w:iCs/>
        </w:rPr>
      </w:pPr>
      <w:r w:rsidRPr="00630709">
        <w:rPr>
          <w:i/>
          <w:iCs/>
        </w:rPr>
        <w:t xml:space="preserve">“Kriminālizlūkošanas atbalsta informācijas </w:t>
      </w:r>
    </w:p>
    <w:p w14:paraId="2B85B034" w14:textId="63B107BE" w:rsidR="00630709" w:rsidRDefault="00630709" w:rsidP="00630709">
      <w:pPr>
        <w:pStyle w:val="Bezatstarpm"/>
        <w:rPr>
          <w:i/>
          <w:iCs/>
        </w:rPr>
      </w:pPr>
      <w:r w:rsidRPr="00630709">
        <w:rPr>
          <w:i/>
          <w:iCs/>
        </w:rPr>
        <w:t>sistēmas noteikumi” (VSS-353)</w:t>
      </w:r>
    </w:p>
    <w:p w14:paraId="1982F671" w14:textId="50350E8A" w:rsidR="00630709" w:rsidRDefault="00630709" w:rsidP="00630709"/>
    <w:p w14:paraId="1E7B9489" w14:textId="2214545F" w:rsidR="00630709" w:rsidRDefault="00630709" w:rsidP="00630709">
      <w:pPr>
        <w:pStyle w:val="Bezatstarpm"/>
        <w:ind w:firstLine="720"/>
      </w:pPr>
      <w:r>
        <w:t xml:space="preserve">Tieslietu </w:t>
      </w:r>
      <w:r w:rsidRPr="00CF5489">
        <w:t>ministrija savas kompetences ietvaros ir izvērtējusi Ministru kabineta noteikumu projektu “Kriminālizlūkošanas atbalsta informācijas sistēmas noteikumi” (VSS-353) (turpmāk – noteikumu projekts), tā anotāciju un izsaka šādus iebildumus.</w:t>
      </w:r>
    </w:p>
    <w:p w14:paraId="00F586E0" w14:textId="03A39D0F" w:rsidR="009272B0" w:rsidRPr="004D7708" w:rsidRDefault="009272B0" w:rsidP="009272B0">
      <w:pPr>
        <w:pStyle w:val="Sarakstarindkopa"/>
        <w:numPr>
          <w:ilvl w:val="0"/>
          <w:numId w:val="12"/>
        </w:numPr>
        <w:ind w:left="0" w:firstLine="360"/>
      </w:pPr>
      <w:commentRangeStart w:id="0"/>
      <w:r>
        <w:rPr>
          <w:szCs w:val="24"/>
        </w:rPr>
        <w:t>V</w:t>
      </w:r>
      <w:r w:rsidRPr="009272B0">
        <w:rPr>
          <w:szCs w:val="24"/>
        </w:rPr>
        <w:t xml:space="preserve">ēršam uzmanību uz to, ka </w:t>
      </w:r>
      <w:r w:rsidRPr="009272B0">
        <w:rPr>
          <w:rFonts w:eastAsia="Times New Roman"/>
          <w:szCs w:val="24"/>
          <w:bdr w:val="none" w:sz="0" w:space="0" w:color="auto" w:frame="1"/>
          <w:lang w:eastAsia="lv-LV"/>
        </w:rPr>
        <w:t xml:space="preserve">saskaņā ar Valsts iestāžu juridisko dienestu 2010. gada 12. marta sanāksmes protokollēmuma </w:t>
      </w:r>
      <w:r>
        <w:rPr>
          <w:rFonts w:eastAsia="Times New Roman"/>
          <w:szCs w:val="24"/>
          <w:bdr w:val="none" w:sz="0" w:space="0" w:color="auto" w:frame="1"/>
          <w:lang w:eastAsia="lv-LV"/>
        </w:rPr>
        <w:t>“</w:t>
      </w:r>
      <w:r w:rsidRPr="009272B0">
        <w:rPr>
          <w:rFonts w:eastAsia="Times New Roman"/>
          <w:szCs w:val="24"/>
          <w:bdr w:val="none" w:sz="0" w:space="0" w:color="auto" w:frame="1"/>
          <w:lang w:eastAsia="lv-LV"/>
        </w:rPr>
        <w:t xml:space="preserve">Par grozījumiem Ministru kabineta 2009. gada 7. aprīļa noteikumos Nr. 300 </w:t>
      </w:r>
      <w:r>
        <w:rPr>
          <w:rFonts w:eastAsia="Times New Roman"/>
          <w:szCs w:val="24"/>
          <w:bdr w:val="none" w:sz="0" w:space="0" w:color="auto" w:frame="1"/>
          <w:lang w:eastAsia="lv-LV"/>
        </w:rPr>
        <w:t>“</w:t>
      </w:r>
      <w:r w:rsidRPr="009272B0">
        <w:rPr>
          <w:rFonts w:eastAsia="Times New Roman"/>
          <w:szCs w:val="24"/>
          <w:bdr w:val="none" w:sz="0" w:space="0" w:color="auto" w:frame="1"/>
          <w:lang w:eastAsia="lv-LV"/>
        </w:rPr>
        <w:t>Ministru kabineta kārtības rullis</w:t>
      </w:r>
      <w:r>
        <w:rPr>
          <w:rFonts w:eastAsia="Times New Roman"/>
          <w:szCs w:val="24"/>
          <w:bdr w:val="none" w:sz="0" w:space="0" w:color="auto" w:frame="1"/>
          <w:lang w:eastAsia="lv-LV"/>
        </w:rPr>
        <w:t>”</w:t>
      </w:r>
      <w:r w:rsidRPr="009272B0">
        <w:rPr>
          <w:rFonts w:eastAsia="Times New Roman"/>
          <w:szCs w:val="24"/>
          <w:bdr w:val="none" w:sz="0" w:space="0" w:color="auto" w:frame="1"/>
          <w:lang w:eastAsia="lv-LV"/>
        </w:rPr>
        <w:t xml:space="preserve"> (Ministru kabineta 2010. gada 23. februāra noteikumi Nr. 170)" (prot. Nr. 2 1</w:t>
      </w:r>
      <w:r w:rsidRPr="004D7708">
        <w:rPr>
          <w:rFonts w:eastAsia="Times New Roman"/>
          <w:szCs w:val="24"/>
          <w:bdr w:val="none" w:sz="0" w:space="0" w:color="auto" w:frame="1"/>
          <w:lang w:eastAsia="lv-LV"/>
        </w:rPr>
        <w:t xml:space="preserve">. §) 8. punktā noteikto ir atbalstāma Ministru kabineta noteikumu projektu izsludināšana Valsts sekretāru sanāksmē, kad likumprojekts Saeimā izskatīts otrajā lasījumā, kā arī šādi Ministru kabineta noteikumu projekti var tikt izskatīti Ministru kabinetā, kad likumprojekts pieņemts Saeimā. </w:t>
      </w:r>
      <w:r w:rsidRPr="00DC69B6">
        <w:rPr>
          <w:rFonts w:eastAsia="Times New Roman"/>
          <w:szCs w:val="24"/>
          <w:bdr w:val="none" w:sz="0" w:space="0" w:color="auto" w:frame="1"/>
          <w:lang w:eastAsia="lv-LV"/>
        </w:rPr>
        <w:t xml:space="preserve">Ievērojot minēto, </w:t>
      </w:r>
      <w:r w:rsidR="009B3F17" w:rsidRPr="00DC69B6">
        <w:rPr>
          <w:rFonts w:eastAsia="Times New Roman"/>
          <w:szCs w:val="24"/>
          <w:highlight w:val="yellow"/>
          <w:bdr w:val="none" w:sz="0" w:space="0" w:color="auto" w:frame="1"/>
          <w:lang w:eastAsia="lv-LV"/>
        </w:rPr>
        <w:t xml:space="preserve">noteikumu </w:t>
      </w:r>
      <w:r w:rsidRPr="00DC69B6">
        <w:rPr>
          <w:szCs w:val="24"/>
          <w:highlight w:val="yellow"/>
        </w:rPr>
        <w:t>projekta turpmāka saskaņošana ir veicama, kad likumprojekts “Grozījum</w:t>
      </w:r>
      <w:r w:rsidR="000969B2" w:rsidRPr="00DC69B6">
        <w:rPr>
          <w:szCs w:val="24"/>
          <w:highlight w:val="yellow"/>
        </w:rPr>
        <w:t>i</w:t>
      </w:r>
      <w:r w:rsidRPr="00DC69B6">
        <w:rPr>
          <w:szCs w:val="24"/>
          <w:highlight w:val="yellow"/>
        </w:rPr>
        <w:t xml:space="preserve"> Operatīvās darbības likumā”</w:t>
      </w:r>
      <w:r w:rsidR="00B7600D" w:rsidRPr="00DC69B6">
        <w:rPr>
          <w:szCs w:val="24"/>
          <w:highlight w:val="yellow"/>
        </w:rPr>
        <w:t xml:space="preserve"> (VSS-30)</w:t>
      </w:r>
      <w:r w:rsidR="000969B2" w:rsidRPr="00DC69B6">
        <w:rPr>
          <w:szCs w:val="24"/>
          <w:highlight w:val="yellow"/>
        </w:rPr>
        <w:t xml:space="preserve"> (turpmāk – likumprojekts) </w:t>
      </w:r>
      <w:r w:rsidRPr="00DC69B6">
        <w:rPr>
          <w:szCs w:val="24"/>
          <w:highlight w:val="yellow"/>
        </w:rPr>
        <w:t>būs pieņemts otrajā lasījumā Saeimā</w:t>
      </w:r>
      <w:r w:rsidRPr="009272B0">
        <w:rPr>
          <w:szCs w:val="24"/>
        </w:rPr>
        <w:t xml:space="preserve">, lai varētu izvērtēt </w:t>
      </w:r>
      <w:r w:rsidR="004D7708">
        <w:rPr>
          <w:szCs w:val="24"/>
        </w:rPr>
        <w:t xml:space="preserve">noteikumu </w:t>
      </w:r>
      <w:r w:rsidRPr="009272B0">
        <w:rPr>
          <w:szCs w:val="24"/>
        </w:rPr>
        <w:t>projektā paredzēto grozījumu atbilstību iepriekš minētajam likumprojektam.</w:t>
      </w:r>
      <w:commentRangeEnd w:id="0"/>
      <w:r w:rsidR="004748ED">
        <w:rPr>
          <w:rStyle w:val="Komentraatsauce"/>
        </w:rPr>
        <w:commentReference w:id="0"/>
      </w:r>
    </w:p>
    <w:p w14:paraId="4EB0DAB6" w14:textId="30AD8BE2" w:rsidR="004D7708" w:rsidRPr="009272B0" w:rsidRDefault="000969B2" w:rsidP="000969B2">
      <w:pPr>
        <w:pStyle w:val="Sarakstarindkopa"/>
        <w:numPr>
          <w:ilvl w:val="0"/>
          <w:numId w:val="12"/>
        </w:numPr>
        <w:ind w:left="0" w:firstLine="284"/>
      </w:pPr>
      <w:commentRangeStart w:id="1"/>
      <w:r w:rsidRPr="00DC69B6">
        <w:rPr>
          <w:highlight w:val="yellow"/>
        </w:rPr>
        <w:t>Lūdzam precizēt noteikumu projekta 1. punktu atbilstoši likumprojektā noteiktajam deleģējumam</w:t>
      </w:r>
      <w:r>
        <w:t xml:space="preserve">, jo tas šobrīd </w:t>
      </w:r>
      <w:r w:rsidR="009B3F17">
        <w:t>ir neatbilstoši noformulēts</w:t>
      </w:r>
      <w:r>
        <w:t>. Saskaņā ar Ministru kabineta 2009. gada 3. februāra noteikumu Nr. 108 “Normatīvo aktu projektu sagatavošanas noteikumi” 102. a</w:t>
      </w:r>
      <w:r w:rsidRPr="000969B2">
        <w:t>pakšpunktam noteikumu projekta pirmajā punktā secīgi raksta likumā noteikto pilnvarojumu Ministru kabinetam.</w:t>
      </w:r>
      <w:commentRangeEnd w:id="1"/>
      <w:r w:rsidR="00DC69B6">
        <w:rPr>
          <w:rStyle w:val="Komentraatsauce"/>
        </w:rPr>
        <w:commentReference w:id="1"/>
      </w:r>
    </w:p>
    <w:p w14:paraId="64B2DFCF" w14:textId="77777777" w:rsidR="000969B2" w:rsidRPr="000969B2" w:rsidRDefault="00630709" w:rsidP="000969B2">
      <w:pPr>
        <w:pStyle w:val="Sarakstarindkopa"/>
        <w:numPr>
          <w:ilvl w:val="0"/>
          <w:numId w:val="12"/>
        </w:numPr>
        <w:ind w:left="0" w:firstLine="284"/>
      </w:pPr>
      <w:r w:rsidRPr="00CF5489">
        <w:rPr>
          <w:rFonts w:eastAsia="Times New Roman"/>
          <w:szCs w:val="24"/>
          <w:lang w:eastAsia="lv-LV"/>
        </w:rPr>
        <w:t>Atbilstoši noteikumu projektam un tā anotācijā norādītajam, nerodas skaidrs priekšstats par Krimināizlūkošanas atbalsta informācijas sistēmā (turpmāk – Sistēma) veikto personas datu apstrādi, tostarp nolūku, nosacījumiem un personām, kas tiesīgas veikt datu apstrādi Sistēmā:</w:t>
      </w:r>
    </w:p>
    <w:p w14:paraId="406A5E3A" w14:textId="77777777" w:rsidR="000969B2" w:rsidRPr="00E31350" w:rsidRDefault="00630709" w:rsidP="000969B2">
      <w:pPr>
        <w:pStyle w:val="Sarakstarindkopa"/>
        <w:numPr>
          <w:ilvl w:val="1"/>
          <w:numId w:val="12"/>
        </w:numPr>
        <w:ind w:left="0" w:firstLine="284"/>
        <w:rPr>
          <w:highlight w:val="yellow"/>
        </w:rPr>
      </w:pPr>
      <w:commentRangeStart w:id="2"/>
      <w:r w:rsidRPr="000969B2">
        <w:rPr>
          <w:rFonts w:eastAsia="Times New Roman"/>
          <w:szCs w:val="24"/>
          <w:lang w:eastAsia="lv-LV"/>
        </w:rPr>
        <w:t xml:space="preserve"> Noteikumu projekta 4. punkts noteic, ka Sistēmas funkcionalitāte nodrošina automatizētu datu apmaiņu ar valsts informācijas sistēmām un pieslēguma punktiem. Cita starpā noteikumu projekta anotācijā skaidrots, ka dati tiks saņemti no citām informācijas sistēmām konkrētajā pieprasījumā noteiktajā apjomā un tiks pagaidu iekopēti Sistēmas “datu noliktavā”. Vienlaikus no minētā nav viennozīmīgi saprotams, no kādām informācijas sistēmām dati tiks saņemti un iekļauti Sistēmā. Ievērojot minēto, lūdzam </w:t>
      </w:r>
      <w:r w:rsidRPr="00DA0729">
        <w:rPr>
          <w:rFonts w:eastAsia="Times New Roman"/>
          <w:szCs w:val="24"/>
          <w:highlight w:val="yellow"/>
          <w:lang w:eastAsia="lv-LV"/>
        </w:rPr>
        <w:t xml:space="preserve">skaidrot anotācijā un papildināt noteikumu projektu, ar kādām valsts informācijas sistēmām tiks īstenota datu apmaiņa. </w:t>
      </w:r>
      <w:commentRangeEnd w:id="2"/>
      <w:r w:rsidR="0037383D">
        <w:rPr>
          <w:rStyle w:val="Komentraatsauce"/>
        </w:rPr>
        <w:commentReference w:id="2"/>
      </w:r>
    </w:p>
    <w:p w14:paraId="03A5176F" w14:textId="77777777" w:rsidR="000969B2" w:rsidRPr="000969B2" w:rsidRDefault="00630709" w:rsidP="000969B2">
      <w:pPr>
        <w:pStyle w:val="Sarakstarindkopa"/>
        <w:numPr>
          <w:ilvl w:val="1"/>
          <w:numId w:val="12"/>
        </w:numPr>
        <w:ind w:left="0" w:firstLine="284"/>
      </w:pPr>
      <w:commentRangeStart w:id="3"/>
      <w:r w:rsidRPr="000969B2">
        <w:rPr>
          <w:rFonts w:eastAsia="Times New Roman"/>
          <w:szCs w:val="24"/>
          <w:lang w:eastAsia="lv-LV"/>
        </w:rPr>
        <w:t>Noteikumu projekta deleģējuma tiesību norma Operatīvās darbības likuma 23. panta 1.</w:t>
      </w:r>
      <w:r w:rsidRPr="000969B2">
        <w:rPr>
          <w:rFonts w:eastAsia="Times New Roman"/>
          <w:szCs w:val="24"/>
          <w:vertAlign w:val="superscript"/>
          <w:lang w:eastAsia="lv-LV"/>
        </w:rPr>
        <w:t>1</w:t>
      </w:r>
      <w:r w:rsidRPr="000969B2">
        <w:rPr>
          <w:rFonts w:eastAsia="Times New Roman"/>
          <w:szCs w:val="24"/>
          <w:lang w:eastAsia="lv-LV"/>
        </w:rPr>
        <w:t xml:space="preserve"> daļa, noteic, ka Sistēmā var iekļaut minētā panta pirmajā daļā minēto informāciju, ciktāl to pieļauj attiecīgās informācijas aizsardzība. Operatīvās darbības likuma 23. panta pirmā daļa noteic, ka </w:t>
      </w:r>
      <w:r w:rsidRPr="000969B2">
        <w:rPr>
          <w:rFonts w:eastAsia="Times New Roman"/>
          <w:szCs w:val="24"/>
          <w:lang w:eastAsia="lv-LV"/>
        </w:rPr>
        <w:lastRenderedPageBreak/>
        <w:t xml:space="preserve">operatīvās darbības subjekti ir tiesīgi vākt, sistematizēt, analizēt, uzglabāt un uzskaitīt publiski pieejamo un slepeno informāciju par personām, faktiem, notikumiem un lietām (pasīvā uzskaites forma), kas nepieciešama un kam ir nozīme operatīvās darbības un kriminālprocesa uzdevumu veikšanai. Vienlaikus arī Operatīvās darbības likuma 23. panta otrā daļa pirmšķietami aptver personas datu apstrādi, iekļaujot personas operatīvajā uzskaitē (aktīvā uzskaites forma). No minētā nav skaidri saprotams, kādēļ Sistēmā var ietvert informāciju, kas iegūta pasīvās uzskaites gaitā, bet ne aktīvās uzskaites un, vai informācija Sistēmā netiks iekļauta, ja attiecībā uz personu tiks veikta operatīvā izstrāde, ievērojot Operatīvās darbības likuma 23. panta otrajā daļā noteikto. Ņemot vērā minēto, lūdzam </w:t>
      </w:r>
      <w:r w:rsidRPr="00DA0729">
        <w:rPr>
          <w:rFonts w:eastAsia="Times New Roman"/>
          <w:szCs w:val="24"/>
          <w:highlight w:val="yellow"/>
          <w:lang w:eastAsia="lv-LV"/>
        </w:rPr>
        <w:t>precizēt anotāciju, skaidrojot Operatīvās darbības likuma 23. pantā ietvertās operatīvās uzskaites pasīvās un aktīvās formas nošķiršanas būtību, kā arī pamatojumu informācijas iekļaušanai Sistēmā tikai attiecībā uz pasīvās uzskaites formā glabāto informāciju.</w:t>
      </w:r>
      <w:r w:rsidRPr="000969B2">
        <w:rPr>
          <w:rFonts w:eastAsia="Times New Roman"/>
          <w:szCs w:val="24"/>
          <w:lang w:eastAsia="lv-LV"/>
        </w:rPr>
        <w:t xml:space="preserve"> </w:t>
      </w:r>
      <w:commentRangeEnd w:id="3"/>
      <w:r w:rsidR="0072388C">
        <w:rPr>
          <w:rStyle w:val="Komentraatsauce"/>
        </w:rPr>
        <w:commentReference w:id="3"/>
      </w:r>
    </w:p>
    <w:p w14:paraId="1ABC6E4F" w14:textId="77777777" w:rsidR="000969B2" w:rsidRPr="000969B2" w:rsidRDefault="00630709" w:rsidP="000969B2">
      <w:pPr>
        <w:pStyle w:val="Sarakstarindkopa"/>
        <w:numPr>
          <w:ilvl w:val="1"/>
          <w:numId w:val="12"/>
        </w:numPr>
        <w:ind w:left="0" w:firstLine="284"/>
      </w:pPr>
      <w:r w:rsidRPr="000969B2">
        <w:rPr>
          <w:rFonts w:eastAsia="Times New Roman"/>
          <w:szCs w:val="24"/>
          <w:lang w:eastAsia="lv-LV"/>
        </w:rPr>
        <w:t xml:space="preserve">Likuma “Par fizisko personu datu apstrādi kriminālprocesā un administratīvā pārkāpuma procesā” 4. panta pirmās daļas 2. punkts noteic, ka personas datus vāc konkrētos, skaidros un tiesiskos nolūkos un neapstrādā ar minētajiem nolūkiem nesaderīgā veidā. Savukārt noteikumu projekta 5. punkts paredz, ka informāciju Sistēmā var iekļaut un veikt citas apstrādes darbības, ja ir pamats uzskatīt, ka attiecīgā informācija var palīdzēt operatīvās darbības un kriminālprocesa uzdevumu veikšanā. </w:t>
      </w:r>
      <w:r w:rsidR="00CF5489" w:rsidRPr="000969B2">
        <w:rPr>
          <w:rFonts w:eastAsia="Times New Roman"/>
          <w:szCs w:val="24"/>
          <w:lang w:eastAsia="lv-LV"/>
        </w:rPr>
        <w:t>Norādām</w:t>
      </w:r>
      <w:r w:rsidRPr="000969B2">
        <w:rPr>
          <w:rFonts w:eastAsia="Times New Roman"/>
          <w:szCs w:val="24"/>
          <w:lang w:eastAsia="lv-LV"/>
        </w:rPr>
        <w:t xml:space="preserve">, ka piedāvātā normas konstrukcija nesniedz konkrētus nosacījumus datu iekļaušanai Sistēmā un to, kā tiks izvērtēts, vai minētā informācija var palīdzēt attiecīgo uzdevumu veikšanā. Turklāt, pat, ja tiek konstatēts, ka informācija ir nepieciešama uzdevuma izpildei, tiesību norma pieļauj rīcības brīvību iekļaut vai neiekļaut informāciju Sistēmā. Ne anotācijā, ne noteikumu projektā netiek skaidrots, kā tiks vērtēta informācijas iekļaušanas sistēmā nepieciešamība. Ņemot vērā minēto, lūdzam </w:t>
      </w:r>
      <w:commentRangeStart w:id="4"/>
      <w:r w:rsidRPr="00F82BBB">
        <w:rPr>
          <w:rFonts w:eastAsia="Times New Roman"/>
          <w:szCs w:val="24"/>
          <w:highlight w:val="yellow"/>
          <w:lang w:eastAsia="lv-LV"/>
        </w:rPr>
        <w:t>precizēt anotāciju, skaidrojot nosacījumus, kā tiks izvērtēts, kādos gadījumos informācija tiks iekļauta Sistēmā.</w:t>
      </w:r>
      <w:r w:rsidRPr="000969B2">
        <w:rPr>
          <w:rFonts w:eastAsia="Times New Roman"/>
          <w:szCs w:val="24"/>
          <w:lang w:eastAsia="lv-LV"/>
        </w:rPr>
        <w:t xml:space="preserve"> </w:t>
      </w:r>
      <w:commentRangeEnd w:id="4"/>
      <w:r w:rsidR="00611DC9">
        <w:rPr>
          <w:rStyle w:val="Komentraatsauce"/>
        </w:rPr>
        <w:commentReference w:id="4"/>
      </w:r>
    </w:p>
    <w:p w14:paraId="567A545C" w14:textId="77777777" w:rsidR="000969B2" w:rsidRPr="00CF3C52" w:rsidRDefault="00630709" w:rsidP="000969B2">
      <w:pPr>
        <w:pStyle w:val="Sarakstarindkopa"/>
        <w:numPr>
          <w:ilvl w:val="1"/>
          <w:numId w:val="12"/>
        </w:numPr>
        <w:ind w:left="0" w:firstLine="284"/>
        <w:rPr>
          <w:highlight w:val="yellow"/>
        </w:rPr>
      </w:pPr>
      <w:r w:rsidRPr="000969B2">
        <w:rPr>
          <w:rFonts w:eastAsia="Times New Roman"/>
          <w:szCs w:val="24"/>
          <w:lang w:eastAsia="lv-LV"/>
        </w:rPr>
        <w:t xml:space="preserve">Noteikumu projekta 17. punktā ir uzskaitīti informācijas piekļuves statusa veidi, atbilstoši kuram tiek noteikts to personu loks, kas ir tiesīgas piekļūt informācijai. Vienlaikus ne anotācijā, ne noteikumu projektā nav norādīts to personu loks, kas ir tiesīgas informāciju Sistēmā iekļaut atbilstoši noteikumu projekta 5. punktam. Ievērojot minēto, </w:t>
      </w:r>
      <w:commentRangeStart w:id="5"/>
      <w:r w:rsidRPr="00CF3C52">
        <w:rPr>
          <w:rFonts w:eastAsia="Times New Roman"/>
          <w:szCs w:val="24"/>
          <w:highlight w:val="yellow"/>
          <w:lang w:eastAsia="lv-LV"/>
        </w:rPr>
        <w:t xml:space="preserve">lūdzam precizēt anotāciju un papildināt noteikumu projektu, nosakot to subjektu loku, kas ir tiesīgas iekļaut informāciju Sistēmā. </w:t>
      </w:r>
      <w:commentRangeEnd w:id="5"/>
      <w:r w:rsidR="00611DC9">
        <w:rPr>
          <w:rStyle w:val="Komentraatsauce"/>
        </w:rPr>
        <w:commentReference w:id="5"/>
      </w:r>
    </w:p>
    <w:p w14:paraId="66570185" w14:textId="77777777" w:rsidR="000969B2" w:rsidRPr="00DA0729" w:rsidRDefault="00630709" w:rsidP="000969B2">
      <w:pPr>
        <w:pStyle w:val="Sarakstarindkopa"/>
        <w:numPr>
          <w:ilvl w:val="1"/>
          <w:numId w:val="12"/>
        </w:numPr>
        <w:ind w:left="0" w:firstLine="284"/>
        <w:rPr>
          <w:highlight w:val="yellow"/>
        </w:rPr>
      </w:pPr>
      <w:r w:rsidRPr="000969B2">
        <w:rPr>
          <w:rFonts w:eastAsia="Times New Roman"/>
          <w:szCs w:val="24"/>
          <w:lang w:eastAsia="lv-LV"/>
        </w:rPr>
        <w:t xml:space="preserve">Noteikumu projekta 27. un 28. punkts noteic Sistēmā iekļautās informācijas glabāšanas termiņus, paredzot, ka Sistēmā iekļautā informācija automātiski tiek dzēsta pēc četriem gadiem no tās iekļaušanas, savukārt pamatinformācija ar papildinājumiem vai sasaistēm automātiski tiek dzēsta pēc četriem gadiem no pēdējās papildināšanas vai attiecīgās norādes iekļaušanas. Norādītā glabāšanas termiņa pamatojums ir sniegts anotācijā, skaidrojot, ka atbilstoši Eiropas Savienības Politikas cikla izveidei un īstenošanai organizētās un smagās starptautiskās noziedzības jomā, katra cikla piemērotākais ilgums ir četri gadi. Līdz ar to četri gadi ir optimālākais laika periods informācijas izmantošanai kriminālizlūkošanas mērķiem. Vienlaikus </w:t>
      </w:r>
      <w:r w:rsidR="00CF5489" w:rsidRPr="000969B2">
        <w:rPr>
          <w:rFonts w:eastAsia="Times New Roman"/>
          <w:szCs w:val="24"/>
          <w:lang w:eastAsia="lv-LV"/>
        </w:rPr>
        <w:t>negūstam</w:t>
      </w:r>
      <w:r w:rsidRPr="000969B2">
        <w:rPr>
          <w:rFonts w:eastAsia="Times New Roman"/>
          <w:szCs w:val="24"/>
          <w:lang w:eastAsia="lv-LV"/>
        </w:rPr>
        <w:t xml:space="preserve"> pārliecību, ka četru gadu cikla noteikšana organizētās un smagās starptautiskās noziedzības jomā būtu piemērojama un samērīga attiecībā uz administratīvo pārkāpumu lietām, kas nebūtu atzīstamas par smagiem noziegumiem. Ievērojot minēto, lūdzam </w:t>
      </w:r>
      <w:commentRangeStart w:id="6"/>
      <w:r w:rsidRPr="00DA0729">
        <w:rPr>
          <w:rFonts w:eastAsia="Times New Roman"/>
          <w:szCs w:val="24"/>
          <w:highlight w:val="yellow"/>
          <w:lang w:eastAsia="lv-LV"/>
        </w:rPr>
        <w:t xml:space="preserve">precizēt anotāciju un nepieciešamības gadījumā papildināt noteikumu projektu, skaidrojot izvēlētā informācijas glabāšanas termiņa pamatotību un samērīgumu attiecībā uz visiem noziedzīgiem nodarījumiem un administratīviem pārkāpumiem, kā arī izvērtējot iespējamā glabāšanas termiņa izvēli atbilstoši pārkāpuma smagumam. </w:t>
      </w:r>
      <w:commentRangeEnd w:id="6"/>
      <w:r w:rsidR="00611DC9">
        <w:rPr>
          <w:rStyle w:val="Komentraatsauce"/>
        </w:rPr>
        <w:commentReference w:id="6"/>
      </w:r>
    </w:p>
    <w:p w14:paraId="4DFF4CDB" w14:textId="631E0EA2" w:rsidR="00630709" w:rsidRPr="000969B2" w:rsidRDefault="00630709" w:rsidP="000969B2">
      <w:pPr>
        <w:pStyle w:val="Sarakstarindkopa"/>
        <w:numPr>
          <w:ilvl w:val="1"/>
          <w:numId w:val="12"/>
        </w:numPr>
        <w:ind w:left="0" w:firstLine="284"/>
      </w:pPr>
      <w:r w:rsidRPr="000969B2">
        <w:rPr>
          <w:rFonts w:eastAsia="Times New Roman"/>
          <w:szCs w:val="24"/>
          <w:lang w:eastAsia="lv-LV"/>
        </w:rPr>
        <w:t xml:space="preserve">Likuma “Par fizisko personu datu apstrādi kriminālprocesā un administratīvā pārkāpuma procesā” 21. pants noteic, kādā gadījumā novērtējums par ietekmi uz datu aizsardzību būtu veicams, proti, ja personas datu apstrādes veids, it īpaši izmantojot jaunās tehnoloģijas un ņemot vērā apstrādes raksturu, apjomu, kontekstu un nolūkus, varētu radīt datu subjekta tiesību un tiesisko interešu riskus. Ņemot vērā, ka personas datu apstrāde Sistēmā aptver dažādu kategoriju personas datus, kā arī attiecas uz plašu mērogu Latvijas Republikas ietvaros, lūdzam </w:t>
      </w:r>
      <w:commentRangeStart w:id="7"/>
      <w:r w:rsidRPr="00054C71">
        <w:rPr>
          <w:rFonts w:eastAsia="Times New Roman"/>
          <w:szCs w:val="24"/>
          <w:highlight w:val="yellow"/>
          <w:lang w:eastAsia="lv-LV"/>
        </w:rPr>
        <w:t>veikt novērtējumu par ietekmi uz datu aizsardzību</w:t>
      </w:r>
      <w:r w:rsidRPr="000969B2">
        <w:rPr>
          <w:rFonts w:eastAsia="Times New Roman"/>
          <w:szCs w:val="24"/>
          <w:lang w:eastAsia="lv-LV"/>
        </w:rPr>
        <w:t>.</w:t>
      </w:r>
      <w:commentRangeEnd w:id="7"/>
      <w:r w:rsidR="00611DC9">
        <w:rPr>
          <w:rStyle w:val="Komentraatsauce"/>
        </w:rPr>
        <w:commentReference w:id="7"/>
      </w:r>
    </w:p>
    <w:p w14:paraId="132444C8" w14:textId="14C53C28" w:rsidR="000969B2" w:rsidRPr="00AF48EA" w:rsidRDefault="00AF48EA" w:rsidP="00AF48EA">
      <w:pPr>
        <w:pStyle w:val="Bezatstarpm"/>
        <w:numPr>
          <w:ilvl w:val="0"/>
          <w:numId w:val="12"/>
        </w:numPr>
        <w:ind w:left="0" w:firstLine="360"/>
      </w:pPr>
      <w:r w:rsidRPr="00AF48EA">
        <w:t>Anotācijas VI sadaļ</w:t>
      </w:r>
      <w:r w:rsidR="009B3F17">
        <w:t>as</w:t>
      </w:r>
      <w:r w:rsidRPr="00AF48EA">
        <w:t xml:space="preserve"> 3. punktā “Sabiedrības līdzdalības rezultāti” norādīts, ka: “Informācijas tiks iekļauta pēc likumprojekta publicēšanas un rezultātu </w:t>
      </w:r>
      <w:r w:rsidRPr="00AF48EA">
        <w:lastRenderedPageBreak/>
        <w:t>apkopošanas”.  Informējam, ka</w:t>
      </w:r>
      <w:r>
        <w:t xml:space="preserve"> </w:t>
      </w:r>
      <w:r w:rsidRPr="00AF48EA">
        <w:t>anotācijas IV sadaļas 3. punktā norādītā informācija nav korekta, jo virzāmais tiesību akta projekts nav likumprojekts, bet gan Ministru kabineta noteikumu projekts. Turklāt no anotācijas IV sadaļas secināms, ka netiek nodrošināta Ministru kabineta 2009. gada 25. augusta noteikumu Nr. 970 “Sabiedrības līdzdalības kārtība attīstības plānošanas procesā”</w:t>
      </w:r>
      <w:r w:rsidR="009B3F17">
        <w:t xml:space="preserve"> (turpmāk – Noteikumi)</w:t>
      </w:r>
      <w:r w:rsidRPr="00AF48EA">
        <w:t xml:space="preserve"> prasīb</w:t>
      </w:r>
      <w:r>
        <w:t>u izpilde</w:t>
      </w:r>
      <w:r w:rsidRPr="00AF48EA">
        <w:t>, jo noteikumu projekts tiek izskatīts Valsts sekretāru sanāksmē nenoslēdzoties sabiedrības līdzdalība</w:t>
      </w:r>
      <w:r w:rsidR="009B3F17">
        <w:t xml:space="preserve">i. </w:t>
      </w:r>
      <w:commentRangeStart w:id="8"/>
      <w:r w:rsidR="009B3F17" w:rsidRPr="00CF3C52">
        <w:rPr>
          <w:highlight w:val="yellow"/>
        </w:rPr>
        <w:t>Ņemot vērā minēto, lūdzam attiecīgi precizēt anotācijas IV sadaļu.</w:t>
      </w:r>
      <w:r w:rsidR="009B3F17">
        <w:t xml:space="preserve">  </w:t>
      </w:r>
      <w:commentRangeEnd w:id="8"/>
      <w:r w:rsidR="007320D3">
        <w:rPr>
          <w:rStyle w:val="Komentraatsauce"/>
        </w:rPr>
        <w:commentReference w:id="8"/>
      </w:r>
    </w:p>
    <w:p w14:paraId="6A334DA2" w14:textId="6F850D1B" w:rsidR="00630709" w:rsidRDefault="00630709" w:rsidP="00630709"/>
    <w:p w14:paraId="3E70785D" w14:textId="77777777" w:rsidR="007710C3" w:rsidRPr="0024195E" w:rsidRDefault="007710C3" w:rsidP="007710C3">
      <w:pPr>
        <w:pStyle w:val="Bezatstarpm"/>
        <w:rPr>
          <w:szCs w:val="24"/>
        </w:rPr>
      </w:pPr>
    </w:p>
    <w:p w14:paraId="7BC65256" w14:textId="77777777" w:rsidR="007710C3" w:rsidRPr="0024195E" w:rsidRDefault="007710C3" w:rsidP="007710C3">
      <w:pPr>
        <w:tabs>
          <w:tab w:val="left" w:pos="993"/>
        </w:tabs>
        <w:rPr>
          <w:szCs w:val="24"/>
        </w:rPr>
      </w:pPr>
      <w:r w:rsidRPr="0024195E">
        <w:rPr>
          <w:szCs w:val="24"/>
        </w:rPr>
        <w:t>Valsts sekretāra vietniece</w:t>
      </w:r>
    </w:p>
    <w:p w14:paraId="0251A32F" w14:textId="77777777" w:rsidR="007710C3" w:rsidRPr="0024195E" w:rsidRDefault="007710C3" w:rsidP="007710C3">
      <w:pPr>
        <w:tabs>
          <w:tab w:val="left" w:pos="993"/>
          <w:tab w:val="left" w:pos="7797"/>
        </w:tabs>
        <w:rPr>
          <w:szCs w:val="24"/>
        </w:rPr>
      </w:pPr>
      <w:r w:rsidRPr="0024195E">
        <w:rPr>
          <w:szCs w:val="24"/>
        </w:rPr>
        <w:t>tiesību politikas jautājumos</w:t>
      </w:r>
      <w:r w:rsidRPr="0024195E">
        <w:rPr>
          <w:szCs w:val="24"/>
        </w:rPr>
        <w:tab/>
        <w:t>Laila Medina</w:t>
      </w:r>
    </w:p>
    <w:p w14:paraId="4175390E" w14:textId="77777777" w:rsidR="00B7600D" w:rsidRDefault="00B7600D" w:rsidP="00B7600D">
      <w:pPr>
        <w:rPr>
          <w:noProof/>
          <w:szCs w:val="24"/>
          <w:lang w:eastAsia="lv-LV"/>
        </w:rPr>
      </w:pPr>
    </w:p>
    <w:p w14:paraId="418477E8" w14:textId="77777777" w:rsidR="007710C3" w:rsidRPr="007710C3" w:rsidRDefault="007710C3" w:rsidP="007710C3">
      <w:pPr>
        <w:pStyle w:val="Bezatstarpm"/>
        <w:rPr>
          <w:sz w:val="20"/>
          <w:szCs w:val="20"/>
        </w:rPr>
      </w:pPr>
      <w:r w:rsidRPr="007710C3">
        <w:rPr>
          <w:sz w:val="20"/>
          <w:szCs w:val="20"/>
        </w:rPr>
        <w:t>Arnis Slesars</w:t>
      </w:r>
    </w:p>
    <w:p w14:paraId="11F8CE69" w14:textId="77777777" w:rsidR="007710C3" w:rsidRPr="007710C3" w:rsidRDefault="007710C3" w:rsidP="007710C3">
      <w:pPr>
        <w:pStyle w:val="Bezatstarpm"/>
        <w:rPr>
          <w:sz w:val="20"/>
          <w:szCs w:val="20"/>
        </w:rPr>
      </w:pPr>
      <w:r w:rsidRPr="007710C3">
        <w:rPr>
          <w:sz w:val="20"/>
          <w:szCs w:val="20"/>
        </w:rPr>
        <w:t>Tieslietu ministrijas Nozaru politikas departamenta</w:t>
      </w:r>
    </w:p>
    <w:p w14:paraId="11133E6E" w14:textId="77777777" w:rsidR="007710C3" w:rsidRPr="007710C3" w:rsidRDefault="007710C3" w:rsidP="007710C3">
      <w:pPr>
        <w:pStyle w:val="Bezatstarpm"/>
        <w:rPr>
          <w:sz w:val="20"/>
          <w:szCs w:val="20"/>
        </w:rPr>
      </w:pPr>
      <w:r w:rsidRPr="007710C3">
        <w:rPr>
          <w:sz w:val="20"/>
          <w:szCs w:val="20"/>
        </w:rPr>
        <w:t xml:space="preserve">Politikas izstrādes un reliģijas lietu nodaļas jurists </w:t>
      </w:r>
    </w:p>
    <w:p w14:paraId="2A4EC2DA" w14:textId="77777777" w:rsidR="007710C3" w:rsidRPr="007710C3" w:rsidRDefault="007710C3" w:rsidP="007710C3">
      <w:pPr>
        <w:pStyle w:val="Bezatstarpm"/>
        <w:rPr>
          <w:sz w:val="20"/>
          <w:szCs w:val="20"/>
        </w:rPr>
      </w:pPr>
      <w:r w:rsidRPr="007710C3">
        <w:rPr>
          <w:sz w:val="20"/>
          <w:szCs w:val="20"/>
        </w:rPr>
        <w:t>67046133, Arnis.Slesars@tm.gov.lv</w:t>
      </w:r>
    </w:p>
    <w:p w14:paraId="7A49A239" w14:textId="5A8DFF62" w:rsidR="00630709" w:rsidRPr="007710C3" w:rsidRDefault="00B7600D" w:rsidP="007710C3">
      <w:pPr>
        <w:pStyle w:val="Bezatstarpm"/>
        <w:rPr>
          <w:sz w:val="20"/>
          <w:szCs w:val="20"/>
        </w:rPr>
      </w:pPr>
      <w:r w:rsidRPr="007710C3">
        <w:rPr>
          <w:sz w:val="20"/>
          <w:szCs w:val="20"/>
        </w:rPr>
        <w:br/>
      </w:r>
      <w:r w:rsidR="007710C3" w:rsidRPr="007710C3">
        <w:rPr>
          <w:sz w:val="20"/>
          <w:szCs w:val="20"/>
        </w:rPr>
        <w:t>Ieva Kristiāna Bleive</w:t>
      </w:r>
    </w:p>
    <w:p w14:paraId="148B3908" w14:textId="62034331" w:rsidR="007710C3" w:rsidRPr="007710C3" w:rsidRDefault="007710C3" w:rsidP="007710C3">
      <w:pPr>
        <w:pStyle w:val="Bezatstarpm"/>
        <w:rPr>
          <w:sz w:val="20"/>
          <w:szCs w:val="20"/>
        </w:rPr>
      </w:pPr>
      <w:r w:rsidRPr="007710C3">
        <w:rPr>
          <w:sz w:val="20"/>
          <w:szCs w:val="20"/>
        </w:rPr>
        <w:t>Tieslietu ministrijas Krimināltiesību departamenta juriste</w:t>
      </w:r>
    </w:p>
    <w:p w14:paraId="726E5C3A" w14:textId="080C223B" w:rsidR="007710C3" w:rsidRPr="007710C3" w:rsidRDefault="007710C3" w:rsidP="007710C3">
      <w:pPr>
        <w:pStyle w:val="Bezatstarpm"/>
        <w:rPr>
          <w:sz w:val="20"/>
          <w:szCs w:val="20"/>
        </w:rPr>
      </w:pPr>
      <w:r w:rsidRPr="007710C3">
        <w:rPr>
          <w:sz w:val="20"/>
          <w:szCs w:val="20"/>
        </w:rPr>
        <w:t>67036988, ieva.kristiana.bleive@tm.gov.lv</w:t>
      </w:r>
    </w:p>
    <w:p w14:paraId="67641497" w14:textId="77777777" w:rsidR="007710C3" w:rsidRPr="007710C3" w:rsidRDefault="007710C3" w:rsidP="007710C3">
      <w:pPr>
        <w:pStyle w:val="Bezatstarpm"/>
        <w:rPr>
          <w:sz w:val="20"/>
          <w:szCs w:val="20"/>
        </w:rPr>
      </w:pPr>
    </w:p>
    <w:p w14:paraId="208C41E0" w14:textId="77777777" w:rsidR="007710C3" w:rsidRPr="007710C3" w:rsidRDefault="007710C3" w:rsidP="007710C3">
      <w:pPr>
        <w:pStyle w:val="Bezatstarpm"/>
        <w:rPr>
          <w:sz w:val="20"/>
          <w:szCs w:val="20"/>
        </w:rPr>
      </w:pPr>
      <w:r w:rsidRPr="007710C3">
        <w:rPr>
          <w:sz w:val="20"/>
          <w:szCs w:val="20"/>
        </w:rPr>
        <w:t xml:space="preserve">Ieva </w:t>
      </w:r>
      <w:r w:rsidR="00630709" w:rsidRPr="007710C3">
        <w:rPr>
          <w:sz w:val="20"/>
          <w:szCs w:val="20"/>
        </w:rPr>
        <w:t xml:space="preserve">Žeimunde </w:t>
      </w:r>
    </w:p>
    <w:p w14:paraId="758E9311" w14:textId="4E522466" w:rsidR="007710C3" w:rsidRPr="007710C3" w:rsidRDefault="007710C3" w:rsidP="007710C3">
      <w:pPr>
        <w:pStyle w:val="Bezatstarpm"/>
        <w:rPr>
          <w:sz w:val="20"/>
          <w:szCs w:val="20"/>
        </w:rPr>
      </w:pPr>
      <w:r w:rsidRPr="007710C3">
        <w:rPr>
          <w:sz w:val="20"/>
          <w:szCs w:val="20"/>
        </w:rPr>
        <w:t>Datu valsts inspekcija</w:t>
      </w:r>
    </w:p>
    <w:p w14:paraId="6106261E" w14:textId="5BF2A63D" w:rsidR="00630709" w:rsidRPr="007710C3" w:rsidRDefault="00630709" w:rsidP="007710C3">
      <w:pPr>
        <w:pStyle w:val="Bezatstarpm"/>
        <w:rPr>
          <w:sz w:val="20"/>
          <w:szCs w:val="20"/>
        </w:rPr>
      </w:pPr>
      <w:r w:rsidRPr="007710C3">
        <w:rPr>
          <w:sz w:val="20"/>
          <w:szCs w:val="20"/>
        </w:rPr>
        <w:t>67686089</w:t>
      </w:r>
      <w:r w:rsidR="007710C3" w:rsidRPr="007710C3">
        <w:rPr>
          <w:sz w:val="20"/>
          <w:szCs w:val="20"/>
        </w:rPr>
        <w:t>, I</w:t>
      </w:r>
      <w:r w:rsidRPr="007710C3">
        <w:rPr>
          <w:sz w:val="20"/>
          <w:szCs w:val="20"/>
        </w:rPr>
        <w:t>eva.</w:t>
      </w:r>
      <w:r w:rsidR="007710C3" w:rsidRPr="007710C3">
        <w:rPr>
          <w:sz w:val="20"/>
          <w:szCs w:val="20"/>
        </w:rPr>
        <w:t>Z</w:t>
      </w:r>
      <w:r w:rsidRPr="007710C3">
        <w:rPr>
          <w:sz w:val="20"/>
          <w:szCs w:val="20"/>
        </w:rPr>
        <w:t>eimunde@dvi.gov.lv</w:t>
      </w:r>
    </w:p>
    <w:sectPr w:rsidR="00630709" w:rsidRPr="007710C3" w:rsidSect="00A34ACB">
      <w:head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mitrijs Vegneris" w:date="2021-09-13T13:45:00Z" w:initials="DV">
    <w:p w14:paraId="2C5C633F" w14:textId="56ABFC86" w:rsidR="004748ED" w:rsidRDefault="004748ED">
      <w:pPr>
        <w:pStyle w:val="Komentrateksts"/>
      </w:pPr>
      <w:r>
        <w:rPr>
          <w:rStyle w:val="Komentraatsauce"/>
        </w:rPr>
        <w:annotationRef/>
      </w:r>
      <w:r>
        <w:t>ņemts vērā</w:t>
      </w:r>
    </w:p>
  </w:comment>
  <w:comment w:id="1" w:author="Dmitrijs Vegneris" w:date="2021-09-13T14:03:00Z" w:initials="DV">
    <w:p w14:paraId="5292FDEA" w14:textId="46DD70EE" w:rsidR="00DC69B6" w:rsidRDefault="00DC69B6">
      <w:pPr>
        <w:pStyle w:val="Komentrateksts"/>
      </w:pPr>
      <w:r>
        <w:rPr>
          <w:rStyle w:val="Komentraatsauce"/>
        </w:rPr>
        <w:annotationRef/>
      </w:r>
      <w:r>
        <w:t>ņemts vērā</w:t>
      </w:r>
    </w:p>
  </w:comment>
  <w:comment w:id="2" w:author="Dmitrijs Vegneris" w:date="2021-09-13T14:05:00Z" w:initials="DV">
    <w:p w14:paraId="50C525E8" w14:textId="4596EB6C" w:rsidR="0037383D" w:rsidRDefault="0037383D">
      <w:pPr>
        <w:pStyle w:val="Komentrateksts"/>
      </w:pPr>
      <w:r>
        <w:rPr>
          <w:rStyle w:val="Komentraatsauce"/>
        </w:rPr>
        <w:annotationRef/>
      </w:r>
      <w:r>
        <w:t>ņemts vērā</w:t>
      </w:r>
    </w:p>
  </w:comment>
  <w:comment w:id="3" w:author="Dmitrijs Vegneris" w:date="2021-09-13T14:18:00Z" w:initials="DV">
    <w:p w14:paraId="480BBC94" w14:textId="42DD67C2" w:rsidR="0072388C" w:rsidRDefault="0072388C">
      <w:pPr>
        <w:pStyle w:val="Komentrateksts"/>
      </w:pPr>
      <w:r>
        <w:rPr>
          <w:rStyle w:val="Komentraatsauce"/>
        </w:rPr>
        <w:annotationRef/>
      </w:r>
      <w:r>
        <w:t>ņemts vērā</w:t>
      </w:r>
    </w:p>
  </w:comment>
  <w:comment w:id="4" w:author="Dmitrijs Vegneris" w:date="2021-09-13T14:22:00Z" w:initials="DV">
    <w:p w14:paraId="0BCD0B96" w14:textId="0A963BEA" w:rsidR="00611DC9" w:rsidRDefault="00611DC9">
      <w:pPr>
        <w:pStyle w:val="Komentrateksts"/>
      </w:pPr>
      <w:r>
        <w:rPr>
          <w:rStyle w:val="Komentraatsauce"/>
        </w:rPr>
        <w:annotationRef/>
      </w:r>
      <w:r>
        <w:t>ņemts vērā</w:t>
      </w:r>
    </w:p>
  </w:comment>
  <w:comment w:id="5" w:author="Dmitrijs Vegneris" w:date="2021-09-13T14:24:00Z" w:initials="DV">
    <w:p w14:paraId="6145CCD0" w14:textId="4BEE4BC5" w:rsidR="00611DC9" w:rsidRDefault="00611DC9">
      <w:pPr>
        <w:pStyle w:val="Komentrateksts"/>
      </w:pPr>
      <w:r>
        <w:rPr>
          <w:rStyle w:val="Komentraatsauce"/>
        </w:rPr>
        <w:annotationRef/>
      </w:r>
      <w:r>
        <w:t>ņemts vērā</w:t>
      </w:r>
    </w:p>
  </w:comment>
  <w:comment w:id="6" w:author="Dmitrijs Vegneris" w:date="2021-09-13T14:26:00Z" w:initials="DV">
    <w:p w14:paraId="32A1DD70" w14:textId="27616EAA" w:rsidR="00611DC9" w:rsidRDefault="00611DC9">
      <w:pPr>
        <w:pStyle w:val="Komentrateksts"/>
      </w:pPr>
      <w:r>
        <w:rPr>
          <w:rStyle w:val="Komentraatsauce"/>
        </w:rPr>
        <w:annotationRef/>
      </w:r>
      <w:r>
        <w:t>ņemts vērā</w:t>
      </w:r>
    </w:p>
  </w:comment>
  <w:comment w:id="7" w:author="Dmitrijs Vegneris" w:date="2021-09-13T14:28:00Z" w:initials="DV">
    <w:p w14:paraId="0C126908" w14:textId="3452839D" w:rsidR="00611DC9" w:rsidRDefault="00611DC9">
      <w:pPr>
        <w:pStyle w:val="Komentrateksts"/>
      </w:pPr>
      <w:r>
        <w:rPr>
          <w:rStyle w:val="Komentraatsauce"/>
        </w:rPr>
        <w:annotationRef/>
      </w:r>
      <w:r>
        <w:t>ņemts vērā</w:t>
      </w:r>
    </w:p>
  </w:comment>
  <w:comment w:id="8" w:author="Dmitrijs Vegneris" w:date="2021-09-13T14:31:00Z" w:initials="DV">
    <w:p w14:paraId="594FB116" w14:textId="55EA6D70" w:rsidR="007320D3" w:rsidRDefault="007320D3">
      <w:pPr>
        <w:pStyle w:val="Komentrateksts"/>
      </w:pPr>
      <w:r>
        <w:rPr>
          <w:rStyle w:val="Komentraatsauce"/>
        </w:rPr>
        <w:annotationRef/>
      </w:r>
      <w:r>
        <w:t>daļēji ņemts vērā</w:t>
      </w:r>
      <w:bookmarkStart w:id="9" w:name="_GoBack"/>
      <w:bookmarkEnd w:id="9"/>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5C633F" w15:done="0"/>
  <w15:commentEx w15:paraId="5292FDEA" w15:done="0"/>
  <w15:commentEx w15:paraId="50C525E8" w15:done="0"/>
  <w15:commentEx w15:paraId="480BBC94" w15:done="0"/>
  <w15:commentEx w15:paraId="0BCD0B96" w15:done="0"/>
  <w15:commentEx w15:paraId="6145CCD0" w15:done="0"/>
  <w15:commentEx w15:paraId="32A1DD70" w15:done="0"/>
  <w15:commentEx w15:paraId="0C126908" w15:done="0"/>
  <w15:commentEx w15:paraId="594FB11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2B2DF" w14:textId="77777777" w:rsidR="00514189" w:rsidRDefault="00514189">
      <w:r>
        <w:separator/>
      </w:r>
    </w:p>
  </w:endnote>
  <w:endnote w:type="continuationSeparator" w:id="0">
    <w:p w14:paraId="5948AB6C" w14:textId="77777777" w:rsidR="00514189" w:rsidRDefault="0051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55430" w14:textId="77777777" w:rsidR="00514189" w:rsidRDefault="00514189">
      <w:r>
        <w:separator/>
      </w:r>
    </w:p>
  </w:footnote>
  <w:footnote w:type="continuationSeparator" w:id="0">
    <w:p w14:paraId="2DDF39FC" w14:textId="77777777" w:rsidR="00514189" w:rsidRDefault="00514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5E7C1C2E" w14:textId="1D4C222F" w:rsidR="007B3740" w:rsidRDefault="007B3740">
        <w:pPr>
          <w:pStyle w:val="Galvene"/>
          <w:jc w:val="center"/>
        </w:pPr>
        <w:r>
          <w:fldChar w:fldCharType="begin"/>
        </w:r>
        <w:r>
          <w:instrText>PAGE   \* MERGEFORMAT</w:instrText>
        </w:r>
        <w:r>
          <w:fldChar w:fldCharType="separate"/>
        </w:r>
        <w:r w:rsidR="00391038">
          <w:rPr>
            <w:noProof/>
          </w:rPr>
          <w:t>3</w:t>
        </w:r>
        <w:r>
          <w:fldChar w:fldCharType="end"/>
        </w:r>
      </w:p>
    </w:sdtContent>
  </w:sdt>
  <w:p w14:paraId="5E7C1C2F"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C1C30" w14:textId="77777777" w:rsidR="00A34ACB" w:rsidRDefault="00A34ACB" w:rsidP="00A34ACB">
    <w:pPr>
      <w:pStyle w:val="Galvene"/>
    </w:pPr>
  </w:p>
  <w:p w14:paraId="5E7C1C31"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Galvene"/>
    </w:pPr>
  </w:p>
  <w:p w14:paraId="5E7C1C33" w14:textId="77777777" w:rsidR="00A34ACB" w:rsidRDefault="00A34ACB" w:rsidP="00A34ACB">
    <w:pPr>
      <w:pStyle w:val="Galvene"/>
    </w:pPr>
  </w:p>
  <w:p w14:paraId="5E7C1C34" w14:textId="77777777" w:rsidR="00A34ACB" w:rsidRDefault="00A34ACB" w:rsidP="00A34ACB">
    <w:pPr>
      <w:pStyle w:val="Galvene"/>
    </w:pPr>
  </w:p>
  <w:p w14:paraId="5E7C1C35" w14:textId="77777777" w:rsidR="00A34ACB" w:rsidRDefault="00A34ACB" w:rsidP="00A34ACB">
    <w:pPr>
      <w:pStyle w:val="Galvene"/>
    </w:pPr>
  </w:p>
  <w:p w14:paraId="5E7C1C36" w14:textId="77777777" w:rsidR="00A34ACB" w:rsidRDefault="00A34ACB" w:rsidP="00A34ACB">
    <w:pPr>
      <w:pStyle w:val="Galvene"/>
    </w:pPr>
  </w:p>
  <w:p w14:paraId="5E7C1C37" w14:textId="77777777" w:rsidR="00A34ACB" w:rsidRDefault="00A34ACB" w:rsidP="00A34ACB">
    <w:pPr>
      <w:pStyle w:val="Galvene"/>
    </w:pPr>
  </w:p>
  <w:p w14:paraId="5E7C1C38" w14:textId="77777777" w:rsidR="00A34ACB" w:rsidRDefault="00A34ACB" w:rsidP="00A34ACB">
    <w:pPr>
      <w:pStyle w:val="Galvene"/>
    </w:pPr>
  </w:p>
  <w:p w14:paraId="5E7C1C39" w14:textId="77777777" w:rsidR="00A34ACB" w:rsidRDefault="00A34ACB" w:rsidP="00A34ACB">
    <w:pPr>
      <w:pStyle w:val="Galvene"/>
    </w:pPr>
  </w:p>
  <w:p w14:paraId="5E7C1C3A"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Galvene"/>
            <w:jc w:val="center"/>
            <w:rPr>
              <w:szCs w:val="24"/>
            </w:rPr>
          </w:pPr>
          <w:r>
            <w:t>11.05.2021</w:t>
          </w:r>
          <w:r>
            <w:rPr>
              <w:szCs w:val="24"/>
            </w:rPr>
            <w:t>.</w:t>
          </w:r>
        </w:p>
      </w:tc>
      <w:tc>
        <w:tcPr>
          <w:tcW w:w="420" w:type="dxa"/>
          <w:tcBorders>
            <w:bottom w:val="nil"/>
          </w:tcBorders>
        </w:tcPr>
        <w:p w14:paraId="5E7C1C3E" w14:textId="77777777" w:rsidR="00E11DA3" w:rsidRDefault="00E11DA3" w:rsidP="00E11DA3">
          <w:pPr>
            <w:pStyle w:val="Galvene"/>
            <w:rPr>
              <w:szCs w:val="24"/>
            </w:rPr>
          </w:pPr>
          <w:r>
            <w:rPr>
              <w:szCs w:val="24"/>
            </w:rPr>
            <w:t xml:space="preserve"> Nr.</w:t>
          </w:r>
        </w:p>
      </w:tc>
      <w:tc>
        <w:tcPr>
          <w:tcW w:w="1890" w:type="dxa"/>
        </w:tcPr>
        <w:p w14:paraId="5E7C1C3F" w14:textId="77777777" w:rsidR="00E11DA3" w:rsidRDefault="00E11DA3" w:rsidP="00E11DA3">
          <w:pPr>
            <w:pStyle w:val="Galvene"/>
            <w:jc w:val="center"/>
            <w:rPr>
              <w:szCs w:val="24"/>
            </w:rPr>
          </w:pPr>
          <w:r>
            <w:t>1-9.1/521</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0870F9"/>
    <w:multiLevelType w:val="multilevel"/>
    <w:tmpl w:val="B476AC9A"/>
    <w:lvl w:ilvl="0">
      <w:start w:val="1"/>
      <w:numFmt w:val="decimal"/>
      <w:lvlText w:val="%1."/>
      <w:lvlJc w:val="left"/>
      <w:pPr>
        <w:ind w:left="720" w:hanging="360"/>
      </w:pPr>
      <w:rPr>
        <w:rFonts w:eastAsia="Times New Roman" w:hint="default"/>
        <w:color w:val="555555"/>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mitrijs Vegneris">
    <w15:presenceInfo w15:providerId="AD" w15:userId="S-1-5-21-4111485455-1704665536-1451507621-16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52E14"/>
    <w:rsid w:val="00054C71"/>
    <w:rsid w:val="00091ABD"/>
    <w:rsid w:val="000969B2"/>
    <w:rsid w:val="000D6929"/>
    <w:rsid w:val="000E7F03"/>
    <w:rsid w:val="00124173"/>
    <w:rsid w:val="00275B9E"/>
    <w:rsid w:val="002B3077"/>
    <w:rsid w:val="002B32E2"/>
    <w:rsid w:val="002E1474"/>
    <w:rsid w:val="00335032"/>
    <w:rsid w:val="0037383D"/>
    <w:rsid w:val="00391038"/>
    <w:rsid w:val="00441F52"/>
    <w:rsid w:val="004748ED"/>
    <w:rsid w:val="00493308"/>
    <w:rsid w:val="004D7708"/>
    <w:rsid w:val="00514189"/>
    <w:rsid w:val="00535564"/>
    <w:rsid w:val="00571AE3"/>
    <w:rsid w:val="005E672B"/>
    <w:rsid w:val="00611DC9"/>
    <w:rsid w:val="00630709"/>
    <w:rsid w:val="00663C3A"/>
    <w:rsid w:val="00675F41"/>
    <w:rsid w:val="006C1639"/>
    <w:rsid w:val="006C6018"/>
    <w:rsid w:val="0072388C"/>
    <w:rsid w:val="00724680"/>
    <w:rsid w:val="00726E06"/>
    <w:rsid w:val="007320D3"/>
    <w:rsid w:val="00747CCB"/>
    <w:rsid w:val="007704BD"/>
    <w:rsid w:val="007710C3"/>
    <w:rsid w:val="007B3740"/>
    <w:rsid w:val="007B3BA5"/>
    <w:rsid w:val="007B48EC"/>
    <w:rsid w:val="007E0D0E"/>
    <w:rsid w:val="007E4D1F"/>
    <w:rsid w:val="00815277"/>
    <w:rsid w:val="00816499"/>
    <w:rsid w:val="00830970"/>
    <w:rsid w:val="0087450D"/>
    <w:rsid w:val="00876C21"/>
    <w:rsid w:val="00883533"/>
    <w:rsid w:val="00887350"/>
    <w:rsid w:val="008A679D"/>
    <w:rsid w:val="008E3CED"/>
    <w:rsid w:val="009272B0"/>
    <w:rsid w:val="00954D5A"/>
    <w:rsid w:val="0096342D"/>
    <w:rsid w:val="009B3F17"/>
    <w:rsid w:val="009D6B6A"/>
    <w:rsid w:val="00A34ACB"/>
    <w:rsid w:val="00A84FC7"/>
    <w:rsid w:val="00AB4E8A"/>
    <w:rsid w:val="00AC270F"/>
    <w:rsid w:val="00AF10A5"/>
    <w:rsid w:val="00AF48EA"/>
    <w:rsid w:val="00B6230F"/>
    <w:rsid w:val="00B7600D"/>
    <w:rsid w:val="00BB087F"/>
    <w:rsid w:val="00C04896"/>
    <w:rsid w:val="00C255D9"/>
    <w:rsid w:val="00C47F57"/>
    <w:rsid w:val="00C836FF"/>
    <w:rsid w:val="00CF0967"/>
    <w:rsid w:val="00CF3C52"/>
    <w:rsid w:val="00CF5489"/>
    <w:rsid w:val="00D21FA6"/>
    <w:rsid w:val="00D55B4B"/>
    <w:rsid w:val="00DA0729"/>
    <w:rsid w:val="00DA0FA9"/>
    <w:rsid w:val="00DC69B6"/>
    <w:rsid w:val="00E11DA3"/>
    <w:rsid w:val="00E31350"/>
    <w:rsid w:val="00E365CE"/>
    <w:rsid w:val="00E40434"/>
    <w:rsid w:val="00E44743"/>
    <w:rsid w:val="00EC3533"/>
    <w:rsid w:val="00F134BD"/>
    <w:rsid w:val="00F551E8"/>
    <w:rsid w:val="00F60586"/>
    <w:rsid w:val="00F82BB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30709"/>
    <w:pPr>
      <w:ind w:left="720"/>
      <w:contextualSpacing/>
    </w:pPr>
  </w:style>
  <w:style w:type="character" w:customStyle="1" w:styleId="UnresolvedMention">
    <w:name w:val="Unresolved Mention"/>
    <w:basedOn w:val="Noklusjumarindkopasfonts"/>
    <w:uiPriority w:val="99"/>
    <w:semiHidden/>
    <w:unhideWhenUsed/>
    <w:rsid w:val="007710C3"/>
    <w:rPr>
      <w:color w:val="605E5C"/>
      <w:shd w:val="clear" w:color="auto" w:fill="E1DFDD"/>
    </w:rPr>
  </w:style>
  <w:style w:type="character" w:styleId="Komentraatsauce">
    <w:name w:val="annotation reference"/>
    <w:basedOn w:val="Noklusjumarindkopasfonts"/>
    <w:uiPriority w:val="99"/>
    <w:semiHidden/>
    <w:unhideWhenUsed/>
    <w:rsid w:val="004748ED"/>
    <w:rPr>
      <w:sz w:val="16"/>
      <w:szCs w:val="16"/>
    </w:rPr>
  </w:style>
  <w:style w:type="paragraph" w:styleId="Komentrateksts">
    <w:name w:val="annotation text"/>
    <w:basedOn w:val="Parasts"/>
    <w:link w:val="KomentratekstsRakstz"/>
    <w:uiPriority w:val="99"/>
    <w:semiHidden/>
    <w:unhideWhenUsed/>
    <w:rsid w:val="004748ED"/>
    <w:rPr>
      <w:sz w:val="20"/>
      <w:szCs w:val="20"/>
    </w:rPr>
  </w:style>
  <w:style w:type="character" w:customStyle="1" w:styleId="KomentratekstsRakstz">
    <w:name w:val="Komentāra teksts Rakstz."/>
    <w:basedOn w:val="Noklusjumarindkopasfonts"/>
    <w:link w:val="Komentrateksts"/>
    <w:uiPriority w:val="99"/>
    <w:semiHidden/>
    <w:rsid w:val="004748ED"/>
    <w:rPr>
      <w:rFonts w:ascii="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4748ED"/>
    <w:rPr>
      <w:b/>
      <w:bCs/>
    </w:rPr>
  </w:style>
  <w:style w:type="character" w:customStyle="1" w:styleId="KomentratmaRakstz">
    <w:name w:val="Komentāra tēma Rakstz."/>
    <w:basedOn w:val="KomentratekstsRakstz"/>
    <w:link w:val="Komentratma"/>
    <w:uiPriority w:val="99"/>
    <w:semiHidden/>
    <w:rsid w:val="004748ED"/>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08490">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5457</Words>
  <Characters>3112</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Dmitrijs Vegneris</cp:lastModifiedBy>
  <cp:revision>2</cp:revision>
  <cp:lastPrinted>2015-01-09T08:13:00Z</cp:lastPrinted>
  <dcterms:created xsi:type="dcterms:W3CDTF">2021-09-13T11:31:00Z</dcterms:created>
  <dcterms:modified xsi:type="dcterms:W3CDTF">2021-09-13T11:31:00Z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