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24.10.2025. 14:39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uztur 24.09.2025. atzinumā ietverto iebildumu un norāda uz nepieciešamību  Ministru kabineta noteikumu projektu "Grozījumi Ministru kabineta 2022.gada 12.aprīļa noteikumos Nr.224 "Prasības un kārtība tehnisko līdzekļu uzstādīšanai uz ceļiem un prasības informācijas nosūtīšanai un saņemšanai no tehniskajiem līdzekļiem apstrādei transportlīdzekļu un to vadītāju valsts reģistrā"" (turpmāk – projekts) un noteikumus precizēt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24.09.2025. atzinumā minēto, lūdzam nepieciešamības gadījumā apsvērt grozījumu veikšanu noteikumu 6.1.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papildināts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2.punkts tiek papildināts ar atsauci uz Autopārvadājumu likumu, kurā noteiktas sankcijas par kravu pārvadāšanas noteikumu pārkāpšanu. Būtiski norādīt, ka atsauces iekļaušana uz Autopārvadājumu likumu nepaplašina deleģējumu Ministru kabinetam. Autopārvadājumu likuma 54.pantā kravu pārvadāšanas noteikumu pārkāpumi ir tiešā veidā saistīti ar ceļu satiksmes drošību - tie tiek konstatēti, ja tiek pārkāpts Ministru kabineta 2015.gada 2.jūnija noteikumu Nr. 279 "Ceļu satiksmes noteikumi" (kas ir izdoti uz Ceļu satiksmes likumā noteiktā deleģējuma pamata) 2.pielikums "Pieļaujamie transportlīdzekļu (transportlīdzekļu sastāvu) gabarīti (ar kravu vai bez tās), faktiskā masa un ass slodze". Šobrīd spēkā esošā Ministru kabineta 2022. gada 12. aprīļa noteikumu Nr.224 “Prasības un kārtība tehnisko līdzekļu uzstādīšanai uz ceļiem un prasības informācijas nosūtīšanai un saņemšanai no tehniskajiem līdzekļiem apstrādei transportlīdzekļu un to vadītāju valsts reģistrā” 6.1.apakšpunkta redakcija jau paredz atsauci arī uz Autoceļu lietošanas nodevas likumu, kurā ietvertie pārkāpumi arī tiek fiksēti ar tehniskajiem līdzekļiem, neapturot transportlīdzekli.”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mērķa transportlīdzeklis  – transportlīdzeklis, ar kuru izdarīts pārkāpums, kuru fiksē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automātiskie auto svari  – automātiska sistēma, kas nosaka mērķa transportlīdzekļa faktisko masu (kopējo faktisko masu, asu slodzi un citus svara parametrus). Sistēma ir aprīkota ar ceļā iebūvētiem sensoriem un citām tehniskām iekārtām, kas nodrošina transportlīdzekļa ass slodzes  noteikšanu kustībā bez transportlīdzekļa apstādināšanas un tiek  izmantota transportlīdzekļu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kontroles  vieta –   zona,  kas  apzīmēta ar vizuāliem marķieriem un kurā mērķa transportlīdzeklis  iebrauc vai izbrauc no ceļa posma, kur notiek kontrole un aprīkota ar reģistrēšanas iekārtu (kameru), kas reaģē uz  mērķa  transportlīdzekli  un  nodrošina tā fiksēšanu.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3.punktā piedāvāto 1.</w:t>
            </w:r>
            <w:r w:rsidR="00000000" w:rsidRPr="00000000" w:rsidDel="00000000">
              <w:rPr>
                <w:vertAlign w:val="superscript"/>
                <w:rtl w:val="0"/>
              </w:rPr>
              <w:t xml:space="preserve">1</w:t>
            </w:r>
            <w:r w:rsidR="00000000" w:rsidRPr="00000000" w:rsidDel="00000000">
              <w:rPr>
                <w:rtl w:val="0"/>
              </w:rPr>
              <w:t xml:space="preserve">3.apakšpunkta regulējumu, kurā ietverts termina - automātiskie auto svari, skaidrojums, veidojot minētā termina skaidrojumu pēc līdzības ar projekta 3.punktā piedāvātajā 1.</w:t>
            </w:r>
            <w:r w:rsidR="00000000" w:rsidRPr="00000000" w:rsidDel="00000000">
              <w:rPr>
                <w:vertAlign w:val="superscript"/>
                <w:rtl w:val="0"/>
              </w:rPr>
              <w:t xml:space="preserve">1</w:t>
            </w:r>
            <w:r w:rsidR="00000000" w:rsidRPr="00000000" w:rsidDel="00000000">
              <w:rPr>
                <w:rtl w:val="0"/>
              </w:rPr>
              <w:t xml:space="preserve">2.apakšpunktā ietvertā termina - vidējā braukšanas ātruma kontroles sistēma, skaidrojumu. Proti, termina - vidējā braukšanas ātruma kontroles sistēma, skaidrojumā nav ietverta norāde par to, ka minētā sistēma tiek izmantota pārkāpumu fiksēšanai bez transportlīdzekļa apstādināšanas. Minētais jau tāpat izriet gan no Ceļu satiksmes likuma 43.</w:t>
            </w:r>
            <w:r w:rsidR="00000000" w:rsidRPr="00000000" w:rsidDel="00000000">
              <w:rPr>
                <w:vertAlign w:val="superscript"/>
                <w:rtl w:val="0"/>
              </w:rPr>
              <w:t xml:space="preserve">7</w:t>
            </w:r>
            <w:r w:rsidR="00000000" w:rsidRPr="00000000" w:rsidDel="00000000">
              <w:rPr>
                <w:rtl w:val="0"/>
              </w:rPr>
              <w:t xml:space="preserve">pantā, gan arī no Ministru kabineta 2022.gada 12.aprīļa noteikumos Nr.224 "Prasības un kārtība tehnisko līdzekļu uzstādīšanai uz ceļiem un prasības informācijas nosūtīšanai un saņemšanai no tehniskajiem līdzekļiem apstrādei transportlīdzekļu un to vadītāju valsts reģistrā" ietvertā regulējuma, kas paredz kompetento institūciju tiesības uzstādīt uz ceļiem attiecīgus tehniskos līdzekļus pārkāpumu fiksēšanai un fiksēt attiecīgos pārkāpumus,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piedāvājam izvērtēšanai šādu projekta 3.punktā piedāvātā 1.</w:t>
            </w:r>
            <w:r w:rsidR="00000000" w:rsidRPr="00000000" w:rsidDel="00000000">
              <w:rPr>
                <w:vertAlign w:val="superscript"/>
                <w:rtl w:val="0"/>
              </w:rPr>
              <w:t xml:space="preserve">1</w:t>
            </w:r>
            <w:r w:rsidR="00000000" w:rsidRPr="00000000" w:rsidDel="00000000">
              <w:rPr>
                <w:rtl w:val="0"/>
              </w:rPr>
              <w:t xml:space="preserve">3.apakšpunkta iespējamo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automātiskie auto svari  – automātiska sistēma, kas nosaka mērķa transportlīdzekļa (tostarp arī transportlīdzekļu sastāva) faktisko masu un ass slodzi. Sistēma ir aprīkota ar ceļā iebūvētiem sensoriem un ar reģistrēšanas iekārtām katrā noteiktā ceļa posma kontroles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publicē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Informāciju par vietām, kur uzstādīti vai noņemti stacionārie tehniskie līdzekļi,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445 "Kārtība, kādā iestādes ievieto informāciju internetā" 28. punktam,  iestāde tās rīcībā esošos atvērtos datus mašīnlasāmā formā kopā ar metadatiem vai tikai datu kopas metadatus publicē Latvijas Atvērto datu portālā (https://data.gov.lv) (turpmāk – atvērto datu portāls). Ņemot vērā, ka transporta nozares informācijas nacionālajā (valsts) piekļuves punkta www.transportdata.gov.lv publicējamā informācija ir atvērtie dati, lūdzam to publicēt atvērto datu portālā vai nodrošināt metadatu nodošanu atvērto datu portālam.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publicē transporta nozares informācijas nacionālajā (valsts) piekļuves punktā www.transportdata.gov.lv un Latvijas Atvērto datu portālā (</w:t>
            </w:r>
            <w:r w:rsidR="00000000" w:rsidRPr="00000000" w:rsidDel="00000000">
              <w:rPr>
                <w:rtl w:val="0"/>
              </w:rPr>
              <w:t xml:space="preserve">https://data.gov.lv</w:t>
            </w:r>
            <w:r w:rsidR="00000000" w:rsidRPr="00000000" w:rsidDel="00000000">
              <w:rPr>
                <w:rtl w:val="0"/>
              </w:rPr>
              <w:t xml:space="preserve">). Informāciju par vietām, kur uzstādīti vai noņemti stacionārie tehniskie līdzekļi, transporta nozares informācijas nacionālajā (valsts) piekļuves punktā www.transportdata.gov.lv un Latvijas Atvērto datu portālā (</w:t>
            </w:r>
            <w:r w:rsidR="00000000" w:rsidRPr="00000000" w:rsidDel="00000000">
              <w:rPr>
                <w:rtl w:val="0"/>
              </w:rPr>
              <w:t xml:space="preserve">https://data.gov.lv</w:t>
            </w:r>
            <w:r w:rsidR="00000000" w:rsidRPr="00000000" w:rsidDel="00000000">
              <w:rPr>
                <w:rtl w:val="0"/>
              </w:rPr>
              <w:t xml:space="preserve">) aktualizē reizi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regulējumam transporta nozares informācijas nacionālais piekļuves punkts (NPP) funkcionē kā valsts nozīmes informācijas tehnoloģiju serviss ar īpašu lomu Eiropas transporta datu ekosistēmā, nevis kā Atvērto datu portāla funkcionalitātes aizstājējs vai apakškopa.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statusu nosaka Ministru kabineta 2025.gada 25.marta noteikumi Nr. 188 "Transporta nozares informācijas nacionālā (valsts) piekļuves punkta darbības un datu iesniegšanas noteikumi", kas reglamentē NPP darbību, metodoloģiju un tajā publicējamo datu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Atvērto datu portāls neiekļaujas NPP izstrādātajā arhitektūrā un prasība par vienu un to pašu datu publicēšanu divās valsts sistēmās ir nesamērīga, nerada papildu sabiedrisko labumu un rada nepamatotu administratīvo slogu. NPP nodrošina pilnu datu publicēšanu atbilstoši tā darbību reglamentējošajai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šķēršļu izveidot iespēju un ielasīt datus Atvērtajam datu portālam datus no NPP.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policija, valsts akciju sabiedrība "Ceļu satiksmes drošības direkcija", valsts vai pašvaldības ceļa pārvaldītājs un dzelzceļa infrastruktūras pārvaldītājs publicē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Informāciju par vietām, kur uzstādīti vai noņemti stacionārie tehniskie līdzekļi, policija, valsts akciju sabiedrība "Ceļu satiksmes drošības direkcija", valsts vai pašvaldības ceļa pārvaldītāji un dzelzceļa infrastruktūras pārvaldītāji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aktualizē reizi nedēļā.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publicē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Informāciju par vietām, kur uzstādīti vai noņemti stacionārie tehniskie līdzekļi,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izteikto iebildumu par nepieciešamību precizēt projekta 6.punktā piedāvāto 4.punkta (sākotnējā projekta versijā - projekta 11.punktā piedāvāto 5.</w:t>
            </w:r>
            <w:r w:rsidR="00000000" w:rsidRPr="00000000" w:rsidDel="00000000">
              <w:rPr>
                <w:vertAlign w:val="superscript"/>
                <w:rtl w:val="0"/>
              </w:rPr>
              <w:t xml:space="preserve">5</w:t>
            </w:r>
            <w:r w:rsidR="00000000" w:rsidRPr="00000000" w:rsidDel="00000000">
              <w:rPr>
                <w:rtl w:val="0"/>
              </w:rPr>
              <w:t xml:space="preserve">punkta) regulējumu, ietverot tajā tiešu norādi par kompetento institūciju, kuras pienākums būs publicēt transporta nozares informācijas nacionālajā (valsts) piekļuves punktā </w:t>
            </w:r>
            <w:r w:rsidR="00000000" w:rsidRPr="00000000" w:rsidDel="00000000">
              <w:rPr>
                <w:i w:val="1"/>
                <w:u w:val="single"/>
                <w:rtl w:val="0"/>
              </w:rPr>
              <w:t xml:space="preserve">www.transportdata.gov.lv</w:t>
            </w:r>
            <w:r w:rsidR="00000000" w:rsidRPr="00000000" w:rsidDel="00000000">
              <w:rPr>
                <w:rtl w:val="0"/>
              </w:rPr>
              <w:t xml:space="preserve"> informāciju par vietām, kurās uzstādīti stacionārie tehniskie līdzekļi, kā arī pienākums šo informāciju reizi nedēļā aktualizēt. Projektam pievienotajā izziņā ir norādīts, ka šis Iekšlietu ministrijas izteiktais iebildums ir ņemts vērā. Taču no attiecīgajā tiesību normā ietvertā regulējuma tas nav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norādām uz nepieciešamību precizēt projekta 6.punktā piedāvāto 4.punkta regulējumu atbilstoši Iekšlietu ministrijas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policija, valsts akciju sabiedrība "Ceļu satiksmes drošības direkcija", valsts vai pašvaldības ceļa pārvaldītājs un dzelzceļa infrastruktūras pārvaldītājs publicē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Informāciju par vietām, kur uzstādīti vai noņemti stacionārie tehniskie līdzekļi, policija, valsts akciju sabiedrība "Ceļu satiksmes drošības direkcija", valsts vai pašvaldības ceļa pārvaldītāji un dzelzceļa infrastruktūras pārvaldītāji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aktualizē reizi nedēļā.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jānodrošina mērķa transportlīdzekļa fotoattēla vai fotoattēlu secīga kopuma ģenerēšana un šķērsošanas brīža laika reģistrācija, kas ir aizsargāta ar laika zīmogu, brīdī,  kad mērķa transportlīdzeklis šķērso kontroles vietu,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±3 km/h no mērķa transportlīdzekļa vidējā braukšanas ātruma;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9. automātisko auto svaru maksimāli pieļaujamā kļūda faktiskajos ekspluatācijas apstākļos nepārsniedz ±10 % no transportlīdzekļa kopējās faktiskās  masas.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8.punktā piedāvāto 5.</w:t>
            </w:r>
            <w:r w:rsidR="00000000" w:rsidRPr="00000000" w:rsidDel="00000000">
              <w:rPr>
                <w:vertAlign w:val="superscript"/>
                <w:rtl w:val="0"/>
              </w:rPr>
              <w:t xml:space="preserve">1</w:t>
            </w:r>
            <w:r w:rsidR="00000000" w:rsidRPr="00000000" w:rsidDel="00000000">
              <w:rPr>
                <w:rtl w:val="0"/>
              </w:rPr>
              <w:t xml:space="preserve">9.apakšpunktu, jo tajā ietvertais regulējums nav attiecināms uz tehnisko līdzekli - vidējā braukšanas ātruma kontroles sistēma (sk. 5.</w:t>
            </w:r>
            <w:r w:rsidR="00000000" w:rsidRPr="00000000" w:rsidDel="00000000">
              <w:rPr>
                <w:vertAlign w:val="superscript"/>
                <w:rtl w:val="0"/>
              </w:rPr>
              <w:t xml:space="preserve">1</w:t>
            </w:r>
            <w:r w:rsidR="00000000" w:rsidRPr="00000000" w:rsidDel="00000000">
              <w:rPr>
                <w:rtl w:val="0"/>
              </w:rPr>
              <w:t xml:space="preserve">punkta ievadaļā minēto). Iekšlietu ministrijas ieskatā projekta 8.punktā piedāvātais 5.</w:t>
            </w:r>
            <w:r w:rsidR="00000000" w:rsidRPr="00000000" w:rsidDel="00000000">
              <w:rPr>
                <w:vertAlign w:val="superscript"/>
                <w:rtl w:val="0"/>
              </w:rPr>
              <w:t xml:space="preserve">1</w:t>
            </w:r>
            <w:r w:rsidR="00000000" w:rsidRPr="00000000" w:rsidDel="00000000">
              <w:rPr>
                <w:rtl w:val="0"/>
              </w:rPr>
              <w:t xml:space="preserve">9.apakšpunkta regulējums, kas nosaka automātisko auto svaru maksimāli pieļaujamo kļūdu faktiskajos ekspluatācijas apstākļos, ir veidojams kā atsevišķa projekta vienība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nepieciešams precizēt projekta 8.punktā piedāvātajā 5.</w:t>
            </w:r>
            <w:r w:rsidR="00000000" w:rsidRPr="00000000" w:rsidDel="00000000">
              <w:rPr>
                <w:vertAlign w:val="superscript"/>
                <w:rtl w:val="0"/>
              </w:rPr>
              <w:t xml:space="preserve">1</w:t>
            </w:r>
            <w:r w:rsidR="00000000" w:rsidRPr="00000000" w:rsidDel="00000000">
              <w:rPr>
                <w:rtl w:val="0"/>
              </w:rPr>
              <w:t xml:space="preserve">9.apakšpunktā lietoto terminoloģiju atbilstoši Autopārvadājumu likumā un citos ārējos normatīvajos aktos lietotajai terminoloģijai, proti, aizstājot minētajā tiesību normā vārdus "no transportlīdzekļa kopējās faktiskās masas" ar vārdiem "no transportlīdzekļa (transportlīdzekļu sastāva) faktiskās masas vai ass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Izvērtējusi anotācijā ietverto skaidrojumu Tieslietu ministrija aicina pārskatīt pārskatīt 5.</w:t>
            </w:r>
            <w:r w:rsidR="00000000" w:rsidRPr="00000000" w:rsidDel="00000000">
              <w:rPr>
                <w:b w:val="1"/>
                <w:vertAlign w:val="superscript"/>
                <w:rtl w:val="0"/>
              </w:rPr>
              <w:t xml:space="preserve">3</w:t>
            </w:r>
            <w:r w:rsidR="00000000" w:rsidRPr="00000000" w:rsidDel="00000000">
              <w:rPr>
                <w:b w:val="1"/>
                <w:rtl w:val="0"/>
              </w:rPr>
              <w:t xml:space="preserve"> punktā ietverto pierādījumu par iejaukšanos aizsargātajā programmatūrā pieejamības 12 mēnešu ilgu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ietverts šāds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5.3 punktā noteikts, ka programmatūras identifikāciju nodrošina pats tehniskais līdzeklis, un pierādījumiem par iejaukšanos aizsargātajā programmatūrā jābūt pieejamiem vismaz 12 mēnešus pēc iejaukšanās. Šis termiņš ir atbilstošs, ņemot vērā Administratīvās atbildības likuma 118.panta pirmo daļu, kas noteic, ka administratīvā pārkāpuma procesu var uzsākt ne vēlāk kā viena gada laikā no pārkāpuma izdarīšanas dienas, bet, ja pārkāpums ir ilgstošs, — no pārkāpuma pārtraukšanas dienas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atbildības likuma 118. panta ceturtā daļa paredz, ka, ja ir izbeigts kriminālprocess, bet ir konstatējamas administratīvā pārkāpuma pazīmes, administratīvā pārkāpuma procesu var uzsākt ne vēlāk kā </w:t>
            </w:r>
            <w:r w:rsidR="00000000" w:rsidRPr="00000000" w:rsidDel="00000000">
              <w:rPr>
                <w:b w:val="1"/>
                <w:rtl w:val="0"/>
              </w:rPr>
              <w:t xml:space="preserve">triju gadu laikā</w:t>
            </w:r>
            <w:r w:rsidR="00000000" w:rsidRPr="00000000" w:rsidDel="00000000">
              <w:rPr>
                <w:rtl w:val="0"/>
              </w:rPr>
              <w:t xml:space="preserve"> no pārkāpuma izdarīšanas dienas. Ņemot vērā minēto, lūdzam apsvērt pierādījumu par iejaukšanos aizsargātajā programmatūrā pieejamības termiņa pārskatīšanu.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papildināts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2017. gada 28. novembra noteikumu Nr. 704 “Prasības transportlīdzekļu braukšanas ātruma mērierīcēm” 20. punkts jau no 2018.gada un arī šobrīd paredz, ka uz visām ātruma mērierīcēm (līdz šim arī uz vidējā ātruma kontroles ierīcēm) ir attiecināta prasība, ka pierādījumiem par iejaukšanos aizsargātajā programmatūrā jābūt pieejamiem vismaz 12 mēnešus pēc iejaukšanās. Līdz ar to, lai termiņš būtu vienāds visiem tehniskajiem līdzekļiem, kas tiek izmantoti pārkāpumu fiksēšanai, neapturot transportlīdzekli, arī Noteikumu 5.</w:t>
            </w:r>
            <w:r w:rsidR="00000000" w:rsidRPr="00000000" w:rsidDel="00000000">
              <w:rPr>
                <w:vertAlign w:val="superscript"/>
                <w:rtl w:val="0"/>
              </w:rPr>
              <w:t xml:space="preserve">4</w:t>
            </w:r>
            <w:r w:rsidR="00000000" w:rsidRPr="00000000" w:rsidDel="00000000">
              <w:rPr>
                <w:rtl w:val="0"/>
              </w:rPr>
              <w:t xml:space="preserve"> punktā noteikts 12 mēnešu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termiņš 12 mēneši attiecas uz programmatūras auditācijas pierakstiem un citiem programmatūras datiem, kas maina programmatūras kontrolsummu. Šos datus nav lietderīgi glabāt ilgāk par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uzkrāšanu par pārkāpumiem (pierādījumus) var  glabāt arī ilgāk, ja nepieciešams pat 3 gadus un nav saistīts ar programmatūras kontrolsummas izmaiņām, bet tas nav saistīts ar šo tiesību normu, bet gan ar sistēmas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iekārtas sērijas numurs un iekārtas pieļaujamā kļūda (ja fiksēta braukšanas ātruma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izteikto iebildumu par nepieciešamību precizēt projekta 12.punktā piedāvāto 6.9.apakšpunkta regulējumu. Atkārtoti norādām, ka šajā tiesību normā minētais nosacījums par pienākumu norādīt iekārtas pieļaujamo kļūdu būtu attiecināms ne vien uz tiem pārkāpumiem, kad tiek fiksēta braukšanas ātruma neievērošana, bet arī uz pārkāpumiem, kad, sverot transportlīdzekli gaitā (kustībā), tiks fiksēta transportlīdzekļa (transportlīdzekļu sastāva) pilnās masas, atļautās faktiskās masas vai pieļaujamās ass slodzes pārsniegšana. Projektam pievienotajā izziņā ir norādīts, ka šis Iekšlietu ministrijas izteiktais iebildums ir ņemts vērā. Taču no attiecīgajā tiesību normā ietvertā regulējuma tas nav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norādām uz nepieciešamību precizēt projekta 12.punktā piedāvāto 6.9.apakšpunkta regulējumu atbilstoši Iekšlietu ministrijas izteiktajam iebildumam.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(modelis), iekārtas sērijas numurs un iekārtas pieļaujamā kļūda (ja fiksēta braukšanas ātruma neievērošana vai transportlīdzekļa (transportlīdzekļu sastāva) pilnās masas, atļautās faktiskās masas vai pieļaujamās ass slodzes pārsniegšana);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ja ar automātiskajiem auto svariem fiksēta ass slodzes vai transportlīdzekļa kopējās faktiskās masas pārsniegums, papildus iesniedz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transportlīdzekļa katras ass faktiskā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transportlīdzekļa kopējā faktiskā  masa.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12.punktā piedāvātajā 6.12.apakšpunktā lietoto terminoloģiju atbilstoši Autopārvadājumu likumā un citos ārējos normatīvajos aktos lietotajai terminoloģijai. Vienlaikus minētās tiesību normas ievaddaļā nepieciešams ietvert korektu norādi uz attiecīgā pārkāpuma veidu, kas atbilst Autopārvadājumu likuma 54.pantā definētajiem pārkāpumu sastāviem.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piedāvājam izvērtēšanai šādu projekta 12.punktā piedāvātā 6.12.apakšpunkta iespējamo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ja fiksēta transportlīdzekļa (transportlīdzekļu sastāva) pilnās masas, atļautās faktiskās masas vai pieļaujamās ass slodzes pārsniegšana, papildus iesniedz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transportlīdzekļa (transportlīdzekļu sastāva) faktiskā masa;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transportlīdzekļa (transportlīdzekļu sastāva) katras ass faktiskā slodze."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ja fiksēta transportlīdzekļa (transportlīdzekļu sastāva) pilnās masas, atļautās faktiskās masas vai pieļaujamās ass slodzes pārsniegšana, papildus iesniedz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Izvērtējusi precizēto projektu, Tieslietu ministrija konsatē, ka tās 24.09.2025. atzinumā minētais iebildums attiecībā uz projekta IV nodaļu tomēr netika ņemts vērā. Arī anotācijā nav ietverts attiecīgs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24.09.2025. atzinumā minēto, atkārtoti aicinām pārskatīt IV nodaļu. Aicinām padomāt par efektīviem un ātriem paziņošanas veidiem, lai adresāts pēc iespējas ātrāk saņemtu  informāciju par pārkāpumu, kas fiksēts ar tehnisku līdzekli, neapturot transportlīdzekli. Piemēram, paziņošanai varētu izmantot īsziņas. Šādu paziņošanu veidu tieši norādīja, pieņemot likumā ietverto pilnvarojumu. Ministru kabinetam nav tiesību to pilnībā ignorēt.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arī šobrīd noteikumu 10. punktā paredzētais regulējums ir apšaubāms, vērtējot no oficiālās elektroniskās adreses prioritātes principa skatpunkta.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attīstīts vienots punkts personas saziņai ar valsti, kas ir e-adrese un tā kā CSDD neapkopo transportlīdzekļu īpašnieku un vadītāju tālruņu numurus tādā formātā, kas ļautu paziņojumus nosūtīt īsziņā, šobrīd veidot no citām institūcijām atšķirīgu informācijas izplatīšanas sistēmu un apstrādāt personas datus nebūtu lietderīgi, līdz ar to atbilstoši likumdevēja mērķim – paziņojumu adresātam elektroniski nosūtīt nekavējoties, kas nozīmē, ka personai ar šo paziņojumu jāiepazīstas pēc iespējas ātrāk, Noteikumu projekts paredz paziņojumu nosūtīt uz oficiālo elektronisko adresi un CSDD e-pakalpojumos norādīto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Paziņojumā ietver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fiksētais iespējamais pārkāpums (norādāms viens no diviem iespējamajiem pārkāpumiem, vai arī abi pārkāpumi, ja tie tiek fiksēti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pārkāpuma fiksēšanas vieta, datums un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fiksētā transportlīdzekļa marka un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atgādinājums par to, ka atbilstoši Ceļu satiksmes likuma 20.panta pirmās daļas regulējumam transportlīdzekļa īpašniekam (valdītājam, turētājam) ir pienākums darīt visu nepieciešamo, lai ceļu satiksmē netiktu izmantoti tādi viņa lietošanā esošie transportlīdzekļi, kuriem nav dota atļauja piedalīties ceļu satiksmē vai uz kuriem attiecas aizliegums piedalīties ceļu satiksmē.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14.punktā piedāvāto 9.punktu ar jaunu 9.5.apakšpunktu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norāde par to, ka paziņojums ir derīgs bez amatpersonas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projekta versijā bija ietverta tiesību norma, kas paredzēja, ka paziņojumam ir informatīvs raksturs un tas ir derīgs bez amatpersonas paraksta. Tieslietu ministrija savā atzinumā attiecībā uz minēto tiesību normu norādīja, ka atbilstoši Administratīvās atbildības likuma 26.panta pirmās daļas regulējumam paziņojums tomēr rada tiesiskas sekas. Līdz ar to nav korekta šajā tiesību normā ietvertā norāde par to, ka paziņojumam ir informatīvs raksturs. Iekšlietu ministrijas ieskatā šāds Tieslietu ministrijas viedoklis ir pilnībā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savā atzinumā attiecībā uz minēto tiesību normu norādīja, ka tā pēc būtības atbalsta šajā tiesību normā ietverto norādi par to, ka paziņojums ir derīgs bez amatpersonas paraksta. Taču precizētajā projekta versijā šī norāde no projektā ietvertā regulējuma ir svītrota. Vēršam uzmanību, ka identiska satura norādes par to, ka kāds dokuments ir derīgs bez amatpersonas paraksta, ir ietvertas vairākos spēkā esošajos tiesību aktos, tostarp arī Administratīvās atbildības likuma 162.panta trešajā daļā. Tāpēc Iekšlietu ministrijas ieskatā minētā norāde ir saglabājama arī šā projekta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papildināts ar 9.5.apakšpunktu.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Paziņojumā ietver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Sagatavoto paziņojumu nekavējoties nosūta </w:t>
            </w:r>
            <w:r w:rsidR="00000000" w:rsidRPr="00000000" w:rsidDel="00000000">
              <w:rPr>
                <w:rtl w:val="0"/>
              </w:rPr>
              <w:t xml:space="preserve">Administratīvās atbildības likuma</w:t>
            </w:r>
            <w:r w:rsidR="00000000" w:rsidRPr="00000000" w:rsidDel="00000000">
              <w:rPr>
                <w:rtl w:val="0"/>
              </w:rPr>
              <w:t xml:space="preserve"> 162. panta pirmajā daļā minētajai personai uz valsts akciju sabiedrības "Ceļu satiksmes drošības direkcija" uzturētajos e-pakalpojumos norādīto e - pasta adresi, ja tādas nav - tad uz oficiālo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sākotnēji piedāvāto Ministru kabineta 2022. gada 12. aprīļa noteikumu Nr. 224 "Prasības un kārtība tehnisko līdzekļu uzstādīšanai uz ceļiem un prasības informācijas nosūtīšanai un saņemšanai no tehniskajiem līdzekļiem apstrādei transportlīdzekļu un to vadītāju valsts reģistrā" 10.punkta redakciju, kas paredzēja, ka sagatavoto paziņojumu nosūta elektroniski uz oficiālo elektronisko adresi vai, ja tādas nav, uz valsts akciju sabiedrības "Ceļu satiksmes drošības direkcija" uzturētajos e-pakalpojumos norādīto e - pasta adresi. Saskaņā ar Oficiālās elektroniskās adreses likuma 12.panta pirmajā daļā noteikto, ja ir aktivizēts oficiālās elektroniskās adreses konts, valsts iestāde un privātpersona sazinās elektroniski un elektronisko dokumentu nosūta, izmantojot oficiālo elektronisko adresi. Ievērojot minēto, ja personai ir aktivizēta oficiālā elektroniskā adrese, tad valsts pārvaldes iestādes elektroniskai saziņai ar personu izmanto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atbilstoši precizēt arī anotācijas saturu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Sagatavoto paziņojumu nekavējoties nosūta Administratīvās atbildības likuma 162. panta pirmajā daļā minētajai personai elektroniski uz oficiālo elektronisko adresi vai, ja tādas nav, uz valsts akciju sabiedrības "Ceļu satiksmes drošības direkcija" uzturētajos e-pakalpojumos norādīto e -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paziņojums primāri nosūtāms uz oficiālo elektronisko adresi vai, ja tā nav aktivizēta, CSDD e-pakalpojumos norādīto e-pasta adresi, kā tas noteikts arī citos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Sagatavoto paziņojumu nekavējoties nosūta </w:t>
            </w:r>
            <w:r w:rsidR="00000000" w:rsidRPr="00000000" w:rsidDel="00000000">
              <w:rPr>
                <w:rtl w:val="0"/>
              </w:rPr>
              <w:t xml:space="preserve">Administratīvās atbildības likuma</w:t>
            </w:r>
            <w:r w:rsidR="00000000" w:rsidRPr="00000000" w:rsidDel="00000000">
              <w:rPr>
                <w:rtl w:val="0"/>
              </w:rPr>
              <w:t xml:space="preserve"> 162. panta pirmajā daļā minētajai personai uz oficiālo elektronisko adresi, kā arī – ja tāda norādīta – uz elektroniskā pasta adresi, kas reģistrēta valsts akciju sabiedrības "Ceļu satiksmes drošības direkcija" uzturētajos e-pakalpojumos.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7</w:t>
            </w:r>
            <w:r w:rsidR="00000000" w:rsidRPr="00000000" w:rsidDel="00000000">
              <w:rPr>
                <w:rtl w:val="0"/>
              </w:rPr>
              <w:t xml:space="preserve"> panta </w:t>
            </w:r>
            <w:r w:rsidR="00000000" w:rsidRPr="00000000" w:rsidDel="00000000">
              <w:rPr>
                <w:rtl w:val="0"/>
              </w:rPr>
              <w:t xml:space="preserve"> un 1.</w:t>
            </w:r>
            <w:r w:rsidR="00000000" w:rsidRPr="00000000" w:rsidDel="00000000">
              <w:rPr>
                <w:vertAlign w:val="superscript"/>
                <w:rtl w:val="0"/>
              </w:rPr>
              <w:t xml:space="preserve">1</w:t>
            </w:r>
            <w:r w:rsidR="00000000" w:rsidRPr="00000000" w:rsidDel="00000000">
              <w:rPr>
                <w:rtl w:val="0"/>
              </w:rPr>
              <w:t xml:space="preserve"> un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1.punktā piedāvāto tiesību akta izdošanas pamatojumu, svītrojot tajā vārdu "un" (pēc vārda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7</w:t>
            </w:r>
            <w:r w:rsidR="00000000" w:rsidRPr="00000000" w:rsidDel="00000000">
              <w:rPr>
                <w:rtl w:val="0"/>
              </w:rPr>
              <w:t xml:space="preserve"> panta </w:t>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un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 nodaļas nosaukumu, ņemot vērā to, ka šajā nodaļā ir ietvertas divas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jānodrošina mērķa transportlīdzekļa fotoattēla vai fotoattēlu secīga kopuma ģenerēšana un šķērsošanas brīža laika reģistrācija, kas ir aizsargāta ar laika zīmogu, brīdī,  kad mērķa transportlīdzeklis šķērso kontroles vietu,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±3 km/h no mērķa transportlīdzekļa vidējā braukšanas ātruma;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9. automātisko auto svaru maksimāli pieļaujamā kļūda faktiskajos ekspluatācijas apstākļos nepārsniedz ±10 % no transportlīdzekļa kopējās faktiskās  masas.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izteiktais priekšlikums projekta 7.punktā ietvertajā 5.12.apakšpunktā un 12.punktā ietvertajā 6.5.apakšpunktā lietot vienveidīgu Ceļu satiksmes likumam atbilstošu terminoloģiju, proti, terminus "valsts reģistrācijas numurs" un "valsts reģistrācijas numura zīme", nav ņemts vērā.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un valsts vai pašvaldības ceļa pārvaldītājs, dzelzceļa infrastruktūras pārvaldītājs  nodrošinot tehnisko līdzekļu darbību, iesniedz transportlīdzekļu un to vadītāju valsts reģistrā šādu informāciju par fiksēto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12.punktā piedāvātajā 6.punkta ievaddaļā vārdus "un valsts vai pašvaldības ceļa pārvaldītājs, dzelzceļa infrastruktūras pārvaldītājs" ar vārdiem "valsts vai pašvaldības ceļa pārvaldītājs un dzelzceļa infrastruktūras pārvaldītājs".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ceļa pārvaldītājs un dzelzceļa infrastruktūras pārvaldītājs,  nodrošinot tehnisko līdzekļu darbību, iesniedz transportlīdzekļu un to vadītāju valsts reģistrā šādu informāciju par fiksēto pārkāpumu: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pārkāpuma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Izvērtējusi precizēto 6.1. apakšpunktu, Tieslietu ministrija rosina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atbilstoši Ministru kabineta 2009. gada 3. februāra noteikumu Nr. 108 "Normatīvo aktu projektu sagatavošanas noteikumi"  60. punktam ir pieļaujama atsauču veidošana uz citām attiecīgā likumprojekta vienībām, tomēr skaidrības labad būtu ieteicams īsi aprakstīt 6.1. apakšpunktā minētās fiksētā pārkāpuma grupas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pietiekama atsauču lietošana un pārkāpumu aprakstīšana nav nepieciešama, jo laika gaitā var parādīties iespējas arī citus pārkāpumus fiksēt ar tehniskajiem līdzekļiem, neapturot transportlīdzekli.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pārkāpuma veids;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iekārtas sērijas numurs un iekārtas pieļaujamā kļūda (ja fiksēta braukšanas ātruma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projekta 12.punktā piedāvāto 6.9.apakšpunkta regulējumu. Proti, aicinām izvērtēt, vai šajā tiesību normā nebūtu paredzama nepieciešamība norādīt ne vien pārkāpuma fiksēšanai izmantotās iekārtas tipu, bet arī tās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(modelis), iekārtas sērijas numurs un iekārtas pieļaujamā kļūda (ja fiksēta braukšanas ātruma neievērošana vai transportlīdzekļa (transportlīdzekļu sastāva) pilnās masas, atļautās faktiskās masas vai pieļaujamās ass slodzes pārsniegšana);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un dzelzceļa infrastruktūras pārvaldītājs, nodrošinot tehnisko līdzekļu darbību,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13.punktā piedāvātajā 7.punktā vārdus "valsts vai pašvaldības ceļa, un dzelzceļa infrastruktūras pārvaldītājs" ar vārdiem "valsts vai pašvaldības ceļa pārvaldītājs un dzelzceļa infrastruktūras pārvaldītājs".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neapturot transportlīdzekli, izdarīšanu transportlīdzekļu un to vadītāju valsts reģistrā automātiskā datu apstrādes režīmā tiek sagatavots paziņojums par fiksēto gadījumu (turpmāk – paziņojums).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atsauc savu iepriekš sniegto priekšlikumu, ar kuru tika izteikts aicinājums precizēt projekta 14.punktā piedāvāto 8.punkta regulējumu, papildinot to pēc vārdiem "kas fiksēts ar tehniskajiem līdzekļiem" ar vārdiem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 Ministru kabineta 2022.gada 12.aprīļa noteikumu Nr.224 "Prasības un kārtība tehnisko līdzekļu uzstādīšanai uz ceļiem un prasības informācijas nosūtīšanai un saņemšanai no tehniskajiem līdzekļiem apstrādei transportlīdzekļu un to vadītāju valsts reģistrā" (turpmāk - Noteikumi Nr.224) 1.1.apakšpunkta regulējumu, kurā ietverts attiecīgās vārdkopas (kas cita starpā satur arī norādi uz pārkāpumu fiksēšanu, neapturot transportlīdzekli) saīsinājums "(turpmāk - tehniskie līdzekļi)", atkārtota šādas norādes lietošana Noteikumu Nr.224 tekstā nav nepieciešama. Līdz ar to aicinām svītrot projekta 14.punktā piedāvātajā 8.punktā vārdus "neapturot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izdarīšanu transportlīdzekļu un to vadītāju valsts reģistrā automātiskā datu apstrādes režīmā tiek sagatavots paziņojums par fiksēto gadījumu (turpmāk – paziņojums).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10.09.2025. 07:55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(Latvijas Vēstnesis, 2022, 75.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pārskatīt  Ministru kabineta 2022.gada 12.aprīļa noteikumu Nr.224 "Prasības un kārtība tehnisko līdzekļu uzstādīšanai uz ceļiem un prasības informācijas nosūtīšanai un saņemšanai no tehniskajiem līdzekļiem apstrādei transportlīdzekļu un to vadītāju valsts reģistrā" (turpmāk - noteikumi) grozījumu sagatavošanas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grozījumu apjoms acīmredzami pārsniedz pusi no noteikumu ietverto normu apjoma. Tādējādi tiek būtiski apgrūtināta noteikumu uztvere,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(turpmāk - noteikumi Nr.108) 140.punktu grozījumu noteikumu projektu nesagatavo, ja tā normu apjoms pārsniegtu pusi no spēkā esošo noteikumu normu apjoma. </w:t>
            </w:r>
            <w:r w:rsidR="00000000" w:rsidRPr="00000000" w:rsidDel="00000000">
              <w:rPr>
                <w:b w:val="1"/>
                <w:rtl w:val="0"/>
              </w:rPr>
              <w:t xml:space="preserve">Šādā gadījumā sagatavo jaunu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tālākajā sakaņošanas gaitā netika uzturēt</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140.</w:t>
            </w:r>
            <w:r w:rsidR="00000000" w:rsidRPr="00000000" w:rsidDel="00000000">
              <w:rPr>
                <w:vertAlign w:val="superscript"/>
                <w:rtl w:val="0"/>
              </w:rPr>
              <w:t xml:space="preserve">1 </w:t>
            </w:r>
            <w:r w:rsidR="00000000" w:rsidRPr="00000000" w:rsidDel="00000000">
              <w:rPr>
                <w:rtl w:val="0"/>
              </w:rPr>
              <w:t xml:space="preserve">punkts noteic, ka šo noteikumu 140. punktā minētā prasība nav attiecināma uz noteikumiem, kurus sagatavo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pārskatīt Ministru kabineta noteikumu projektu "Grozījumi Ministru kabineta 2022.gada 12.aprīļa noteikumos Nr.224 "Prasības un kārtība tehnisko līdzekļu uzstādīšanai uz ceļiem un prasības informācijas nosūtīšanai un saņemšanai no tehniskajiem līdzekļiem apstrādei transportlīdzekļu un to vadītāju valsts reģistrā"" (turpmāk – projekts) un noteikumus un precizēt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izdoti uz Ceļu satiksmes likuma 43.</w:t>
            </w:r>
            <w:r w:rsidR="00000000" w:rsidRPr="00000000" w:rsidDel="00000000">
              <w:rPr>
                <w:vertAlign w:val="superscript"/>
                <w:rtl w:val="0"/>
              </w:rPr>
              <w:t xml:space="preserve">7</w:t>
            </w:r>
            <w:r w:rsidR="00000000" w:rsidRPr="00000000" w:rsidDel="00000000">
              <w:rPr>
                <w:rtl w:val="0"/>
              </w:rPr>
              <w:t xml:space="preserve"> panta pamata.  Attiecīgi pilnvarojums izriet no Ceļu satiksmes likuma, nevis no Autopārvadājumu likuma un Autoceļu lietošanas nodevas likuma.  Tādējādi noteikumi var regulēt  tikai ar Ceļu satiksmes likumā ietverto regulējumu 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noteikumos ir nepieciešams izvairīties no atsaucēm uz citiem likumiem, tiesību normām. Ja noteikumu tekstā ir sastopamas atsauces uz citiem normatīvajiem aktiem, ir pārskatāms attiecīgo normu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papildināts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2.punkts tiek papildināts ar atsauci uz Autopārvadājumu likumu, kurā noteiktas sankcijas par kravu pārvadāšanas noteikumu pārkāpšanu. Būtiski norādīt, ka atsauces iekļaušana uz Autopārvadājumu likumu nepaplašina deleģējumu Ministru kabinetam. Autopārvadājumu likuma 54.pantā kravu pārvadāšanas noteikumu pārkāpumi ir tiešā veidā saistīti ar ceļu satiksmes drošību - tie tiek konstatēti, ja tiek pārkāpts Ministru kabineta 2015.gada 2.jūnija noteikumu Nr. 279 "Ceļu satiksmes noteikumi" (kas ir izdoti uz Ceļu satiksmes likumā noteiktā deleģējuma pamata) 2.pielikums "Pieļaujamie transportlīdzekļu (transportlīdzekļu sastāvu) gabarīti (ar kravu vai bez tās), faktiskā masa un ass slodze". Šobrīd spēkā esošā Ministru kabineta 2022. gada 12. aprīļa noteikumu Nr.224 “Prasības un kārtība tehnisko līdzekļu uzstādīšanai uz ceļiem un prasības informācijas nosūtīšanai un saņemšanai no tehniskajiem līdzekļiem apstrādei transportlīdzekļu un to vadītāju valsts reģistrā” 6.1.apakšpunkta redakcija jau paredz atsauci arī uz Autoceļu lietošanas nodevas likumu, kurā ietvertie pārkāpumi arī tiek fiksēti ar tehniskajiem līdzekļiem, neapturot transportlīdzekli.”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 tehniskajiem līdzekļiem, neapturot transportlīdzekli, var tikt fiksēti ne vien Ceļu satiksmes noteikumu prasību neievērošanas pārkāpumi, bet arī Ceļu satiksmes likuma prasību neievērošanas pārkāpumi. Līdz ar to nepieciešams attiecīgi precizēt piedāvāto 1.</w:t>
            </w:r>
            <w:r w:rsidR="00000000" w:rsidRPr="00000000" w:rsidDel="00000000">
              <w:rPr>
                <w:vertAlign w:val="superscript"/>
                <w:rtl w:val="0"/>
              </w:rPr>
              <w:t xml:space="preserve">1</w:t>
            </w:r>
            <w:r w:rsidR="00000000" w:rsidRPr="00000000" w:rsidDel="00000000">
              <w:rPr>
                <w:rtl w:val="0"/>
              </w:rPr>
              <w:t xml:space="preserve"> 2.apakšpunkta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"svēršanas gaitā sistēma" netiek lietots noteikumos. Lūdzam svītrot šo terminu.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Termins "ierīce" netiek lietots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terminu vai pārskatīt noteikumu tekstu, attiecīgi to precizējot. Vēršam uzmanību, ka noteikumi  ir izdoti uz Ceļu satiksmes likuma 43.</w:t>
            </w:r>
            <w:r w:rsidR="00000000" w:rsidRPr="00000000" w:rsidDel="00000000">
              <w:rPr>
                <w:vertAlign w:val="superscript"/>
                <w:rtl w:val="0"/>
              </w:rPr>
              <w:t xml:space="preserve">7</w:t>
            </w:r>
            <w:r w:rsidR="00000000" w:rsidRPr="00000000" w:rsidDel="00000000">
              <w:rPr>
                <w:rtl w:val="0"/>
              </w:rPr>
              <w:t xml:space="preserve">panta pamata. Attiecīgi pilnvarojums izriet no Ceļu satiksmes likuma, nevis no Autopārvadājumu likuma un Autoceļu lietošanas nodevas likuma. Tādējādi noteikumi var regulēt  tikai ar Ceļu satiksmes likumā ietverto regulējumu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skaidrojumā jānorāda tikai būtiskās pazīmes (tās, kuras ir obligāti nepieciešamas un pietiekamas termina izpratnei; atņemot kādu no būtiskajām pazīmēm lieta mainītu savu jēgu, kļūtu jau par citu lietu). Ņemot vērā minēto, aicinām izvērtēt, vai gadījumos, ja ierīces dati netiktu izmantoti pārkāpumu konstatēšanai un soda piemērošanai, tā joprojām tiks uzskatīta par ierīci noteikumu izpratnē?  Turklāt datus izmanto, lai vērtētu administratīvās atbildības vai kriminālatbildības piemērošanu. Piemēram, Administratīvās atbildības likuma 11.panta pirmā daļa nosaka, ka, ja personas izdarītais administratīvais pārkāpums konkrētajos apstākļos nav radījis tādu apdraudējumu tiesiski aizsargātajām interesēm, lai par to piemērotu sodu (maznozīmīgs pārkāpums), amatpersona var neuzsākt administratīvā pārkāpuma procesu, bet, ja tas ir uzsākts, amatpersona, augstāka amatpersona vai tiesa jebkurā stadijā var to izbeigt, nepiemērojot sodu. Tādējādi administratīvā pārkāpuma process ne vienmēr tiek noslēgts, piemērojot sodu. Atbilstoši Administratīvās atbildības likuma 151.pantam izskatījusi administratīvā pārkāpuma lietu, amatpersona pieņem lēmumu par soda piemērošanu vai par administratīvā pārkāpuma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pēc rūpīgas izvērtēšanas projektā tiks saglabāts termins "ierīce" un attiecīgi tiks pārskatīts noteikumu teksts attiecībā uz termina "ierīce" lietošanu, tad papildus ir nepieciešams precizēt terminu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citur noteikumu tekstā ir sastopamas atsauces uz citiem normatīvajiem aktiem. Piemēram, termina "mērķa transportlīdzeklis" definējumā ir ietvertas atsauces uz Autopārvadājumu likumu un Autoceļu lietošanas nodevas likumu. Lūdzam precizēt šo terminu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atsauces uz citiem normatīvajiem aktiem ir ietvertas citos noteikumos lietotajos terminos, tad šie termini ir attiecīgi pārskatāmi un precizējami atbilstoši Ceļu satiksmes likuma tvērumam.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1.</w:t>
            </w:r>
            <w:r w:rsidR="00000000" w:rsidRPr="00000000" w:rsidDel="00000000">
              <w:rPr>
                <w:vertAlign w:val="superscript"/>
                <w:rtl w:val="0"/>
              </w:rPr>
              <w:t xml:space="preserve">1</w:t>
            </w:r>
            <w:r w:rsidR="00000000" w:rsidRPr="00000000" w:rsidDel="00000000">
              <w:rPr>
                <w:rtl w:val="0"/>
              </w:rPr>
              <w:t xml:space="preserve"> 2.apakšpunktu, kurā ietverts termina "mērķa transportlīdzeklis" skaidrojums, ņemot vērā, ka ar tehniskajiem līdzekļiem, neapturot transportlīdzekli, var tikt fiksēti ne vien Ceļu satiksmes noteikumu prasību neievērošanas pārkāpumi, bet arī Ceļu satiksmes likuma prasību neievērošanas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piedāvāto 1.</w:t>
            </w:r>
            <w:r w:rsidR="00000000" w:rsidRPr="00000000" w:rsidDel="00000000">
              <w:rPr>
                <w:vertAlign w:val="superscript"/>
                <w:rtl w:val="0"/>
              </w:rPr>
              <w:t xml:space="preserve">1</w:t>
            </w:r>
            <w:r w:rsidR="00000000" w:rsidRPr="00000000" w:rsidDel="00000000">
              <w:rPr>
                <w:rtl w:val="0"/>
              </w:rPr>
              <w:t xml:space="preserve"> 4.apakšpunktu, kurā ietverts termina "svēršanas gaitā sistēma" skaidrojums, jo šāds termins turpmāk šā tiesību akta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šajā tiesību normā nav korekta vārdkopas "transportlīdzekļa masa" lietošana, jo pēc būtības transportlīdzekļa svēršanas rezultātā tiek noskaidrota transportlīdzekļa </w:t>
            </w:r>
            <w:r w:rsidR="00000000" w:rsidRPr="00000000" w:rsidDel="00000000">
              <w:rPr>
                <w:u w:val="single"/>
                <w:rtl w:val="0"/>
              </w:rPr>
              <w:t xml:space="preserve">faktiskā</w:t>
            </w:r>
            <w:r w:rsidR="00000000" w:rsidRPr="00000000" w:rsidDel="00000000">
              <w:rPr>
                <w:rtl w:val="0"/>
              </w:rPr>
              <w:t xml:space="preserve"> masa (jeb transportlīdzekļa kopējā </w:t>
            </w:r>
            <w:r w:rsidR="00000000" w:rsidRPr="00000000" w:rsidDel="00000000">
              <w:rPr>
                <w:u w:val="single"/>
                <w:rtl w:val="0"/>
              </w:rPr>
              <w:t xml:space="preserve">faktiskā</w:t>
            </w:r>
            <w:r w:rsidR="00000000" w:rsidRPr="00000000" w:rsidDel="00000000">
              <w:rPr>
                <w:rtl w:val="0"/>
              </w:rPr>
              <w:t xml:space="preserve"> masa). Tāpat nav korekta arī vārdkopas "ass svara" lietošana šajā tiesību normā, jo viens no transportlīdzekļa kopējo faktisko masu raksturojošiem parametriem ir ass </w:t>
            </w:r>
            <w:r w:rsidR="00000000" w:rsidRPr="00000000" w:rsidDel="00000000">
              <w:rPr>
                <w:u w:val="single"/>
                <w:rtl w:val="0"/>
              </w:rPr>
              <w:t xml:space="preserve">slodzes</w:t>
            </w:r>
            <w:r w:rsidR="00000000" w:rsidRPr="00000000" w:rsidDel="00000000">
              <w:rPr>
                <w:rtl w:val="0"/>
              </w:rPr>
              <w:t xml:space="preserve"> mērījums.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piedāvāto 1.</w:t>
            </w:r>
            <w:r w:rsidR="00000000" w:rsidRPr="00000000" w:rsidDel="00000000">
              <w:rPr>
                <w:vertAlign w:val="superscript"/>
                <w:rtl w:val="0"/>
              </w:rPr>
              <w:t xml:space="preserve">1</w:t>
            </w:r>
            <w:r w:rsidR="00000000" w:rsidRPr="00000000" w:rsidDel="00000000">
              <w:rPr>
                <w:rtl w:val="0"/>
              </w:rPr>
              <w:t xml:space="preserve"> 1.apakšpunktu, kurā ietverts termina "ierīce" skaidrojums, jo šāds termins turpmāk tiesību akta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ar tehniskajiem līdzekļiem, neapturot transportlīdzekli, var tikt fiksēti ne vien Ceļu satiksmes noteikumu prasību neievērošanas pārkāpumi, bet arī Ceļu satiksmes likuma prasību neievērošanas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veikt Ceļu satiksmes noteikumu, Autopārvadājumu likuma un Autoceļu lietošanas nodevas likuma pārkāpumu kontroli, vai novērst ceļu satiksmes negadījumus ar bojāgājušajiem vai cietušajiem.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2.punkta regulējumu, kurā tiek definēts tehnisko līdzekļu uzstādīšanas uz Latvijas ceļiem mērķis, ņemot vērā, ka ar tehniskajiem līdzekļiem, neapturot transportlīdzekli, var tikt fiksēti ne vien Ceļu satiksmes noteikumu prasību neievērošanas pārkāpumi, bet arī Ceļu satiksmes likuma prasību neievērošanas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attiecīgajos ārējos normatīvajos aktos noteikto prasību pārkāpumu kontrole un ceļu satiksmes negadījumu ar bojāgājušajiem vai cietušajiem novēršana ir vienīgie iemesli, kas pamato nepieciešamību uz Latvijas ceļiem uzstādīt 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vienotas terminoloģijas lietošanu visā tiesību akta tekstā, aicinām piedāvātajā 2.punktā aizstāt vārdu "pārkāpumu" ar vārdiem "prasību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veikt </w:t>
            </w:r>
            <w:r w:rsidR="00000000" w:rsidRPr="00000000" w:rsidDel="00000000">
              <w:rPr>
                <w:rtl w:val="0"/>
              </w:rPr>
              <w:t xml:space="preserve">Ministru kabineta 2015. gada 2. jūnija noteikumu Nr. 279 "Ceļu satiksmes noteikumi"</w:t>
            </w:r>
            <w:r w:rsidR="00000000" w:rsidRPr="00000000" w:rsidDel="00000000">
              <w:rPr>
                <w:rtl w:val="0"/>
              </w:rPr>
              <w:t xml:space="preserve">, </w:t>
            </w:r>
            <w:r w:rsidR="00000000" w:rsidRPr="00000000" w:rsidDel="00000000">
              <w:rPr>
                <w:rtl w:val="0"/>
              </w:rPr>
              <w:t xml:space="preserve">Ceļu satiksmes likuma</w:t>
            </w:r>
            <w:r w:rsidR="00000000" w:rsidRPr="00000000" w:rsidDel="00000000">
              <w:rPr>
                <w:rtl w:val="0"/>
              </w:rPr>
              <w:t xml:space="preserve">, </w:t>
            </w:r>
            <w:r w:rsidR="00000000" w:rsidRPr="00000000" w:rsidDel="00000000">
              <w:rPr>
                <w:rtl w:val="0"/>
              </w:rPr>
              <w:t xml:space="preserve">Autopārvadājumu likuma</w:t>
            </w:r>
            <w:r w:rsidR="00000000" w:rsidRPr="00000000" w:rsidDel="00000000">
              <w:rPr>
                <w:rtl w:val="0"/>
              </w:rPr>
              <w:t xml:space="preserve"> un </w:t>
            </w:r>
            <w:r w:rsidR="00000000" w:rsidRPr="00000000" w:rsidDel="00000000">
              <w:rPr>
                <w:rtl w:val="0"/>
              </w:rPr>
              <w:t xml:space="preserve">Autoceļu lietošanas nodevas likuma</w:t>
            </w:r>
            <w:r w:rsidR="00000000" w:rsidRPr="00000000" w:rsidDel="00000000">
              <w:rPr>
                <w:rtl w:val="0"/>
              </w:rPr>
              <w:t xml:space="preserve"> pārkāpumu kontroli, vai novērst ceļu satiksmes negadījumus ar bojāgājušajiem vai cietušajiem.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tehniskie līdzekļi, konkrētā ceļa vai ceļa posma pārvaldītājs tās apzīmē ar attiecīgām ceļa zīmēm, apzīmējumiem un citiem ceļu satiksmes organizācijas tehniskajiem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šajā tiesību normā ceļa pārvaldītājam noteiktā prasība par tā pienākumu ar attiecīgām ceļa zīmēm, apzīmējumiem un citiem ceļu satiksmes organizācijas tehniskajiem līdzekļiem apzīmēt vietas uz Latvijas ceļiem, kurās ir uzstādīti tehniskie līdzekļi, pēc būtības var tikt attiecināta tikai uz tām vietām, kurās paredzēta stacionāra attiecīgo tehnisko līdzekļu uzstādīšana. Līdz ar to nepieciešams precizēt projekta 3.punkta regulējumu, papildinot to pēc vārda "uzstādīti" ar vārdu "stacionārie".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tehniskie līdzekļi uzstādīti stacionāri, konkrētā ceļa vai ceļa posma pārvaldītājs tās apzīmē ar attiecīgām ceļa zīmēm, apzīmējumiem un citiem ceļu satiksmes organizācijas tehniskajiem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brīdī,  kad mērķa transportlīdzeklis šķērso kontroles vietu, notiek mērķa transportlīdzekļa fotoattēla vai fotoattēlu secīga kopuma ģenerēšana un šķērsošanas brīža laika reģistrācija, kas ir aizsargāta ar laika zīmogu,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ir  iespējams veikt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7.1.  ±3 km/h,  ja mērķa transportlīdzekļa vidējais  braukšanas  ātrums  nepārsniedz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7.2. .±3 % no mērķa transportlīdzekļa vidējā braukšanas ātruma, ja mērķa transportlīdzekļa vidējais braukšanas ātrums 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"Latvijas nacionālais metroloģijas centrs"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w:t>
            </w:r>
            <w:r w:rsidR="00000000" w:rsidRPr="00000000" w:rsidDel="00000000">
              <w:rPr>
                <w:vertAlign w:val="superscript"/>
                <w:rtl w:val="0"/>
              </w:rPr>
              <w:t xml:space="preserve">1</w:t>
            </w:r>
            <w:r w:rsidR="00000000" w:rsidRPr="00000000" w:rsidDel="00000000">
              <w:rPr>
                <w:rtl w:val="0"/>
              </w:rPr>
              <w:t xml:space="preserve">6. punktā noteikts, ka vidējā braukšanas ātruma sistēmai ir iespējams veikt kalibrēšanu. Nepieciešams noteikt noteikumos nevis iespēju kalibrēt, bet nepieciešamību to darīt. Mūsuprāt, atbilstošākais veids būtu  veikt grozījumus arī MK noteikumos Nr. 963 "Noteikumi par mērīšanas līdzekļu kalibrēšanu", papildinot šo noteikumu pielikumā esošo kalibrējamo mērīšanas līdzekļu sarakstu ar vidējā braukšanas ātruma kontroles sistēmām ar kalibrēšanas termiņu 2 gadi un MPK +/-3km/h.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Nenosakot vidējā ātruma kontroles sistēmu kalibrēšanas pienākumu un kārtību, mūsuprāt, pastāv ļoti augsti riski piemērojamo Administratīvo sodu par atļautā braukšanas ātruma pārsniegšanu pārsūdzību skaita palielinājumam un soda atcelšanai.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6. sistēma ir kalibrēta akreditētā laboratorijā atbilstoši standarta LVS EN ISO/IEC 17025:2018 un citām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braukšanas ātruma kontroles sistēma nav mērlīdzeklis, tāpēc Noteikumos Nr. 963 "Noteikumi par mērīšanas līdzekļu kalibrēšanu" nevar paredzēt šīs sistēmas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braukšanas ātruma kontroles sistēmas un iekārtu pārbaudi nodrošinās valsts vai pašvaldības ceļa pārvaldītājs, vai Ceļu satiksmes drošības direkcija, uzstādot sistēmu un veicot to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brīdī,  kad mērķa transportlīdzeklis šķērso kontroles vietu, notiek mērķa transportlīdzekļa fotoattēla vai fotoattēlu secīga kopuma ģenerēšana un šķērsošanas brīža laika reģistrācija, kas ir aizsargāta ar laika zīmogu,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ir  iespējams veikt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7.1.  ±3 km/h,  ja mērķa transportlīdzekļa vidējais  braukšanas  ātrums  nepārsniedz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7.2. .±3 % no mērķa transportlīdzekļa vidējā braukšanas ātruma, ja mērķa transportlīdzekļa vidējais braukšanas ātrums 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papildināts ar 5.</w:t>
            </w:r>
            <w:r w:rsidR="00000000" w:rsidRPr="00000000" w:rsidDel="00000000">
              <w:rPr>
                <w:vertAlign w:val="superscript"/>
                <w:rtl w:val="0"/>
              </w:rPr>
              <w:t xml:space="preserve">1</w:t>
            </w:r>
            <w:r w:rsidR="00000000" w:rsidRPr="00000000" w:rsidDel="00000000">
              <w:rPr>
                <w:rtl w:val="0"/>
              </w:rPr>
              <w:t xml:space="preserve"> 6.punktu, kas nosaka, ka vidējā braukšanas ātruma kontroles sistēmai ir iespējams veikt kalibrēšanu. No šīs normas nav saprotams, vai kalibrēšanas periodiskumu nosaka lietotājs vai paredzēts noteikt kalibrēšanas periodiskumu normatīvajā regulējumā.Tādēļ lūdzam precizēt projekta 5.</w:t>
            </w:r>
            <w:r w:rsidR="00000000" w:rsidRPr="00000000" w:rsidDel="00000000">
              <w:rPr>
                <w:vertAlign w:val="superscript"/>
                <w:rtl w:val="0"/>
              </w:rPr>
              <w:t xml:space="preserve">1 </w:t>
            </w:r>
            <w:r w:rsidR="00000000" w:rsidRPr="00000000" w:rsidDel="00000000">
              <w:rPr>
                <w:rtl w:val="0"/>
              </w:rPr>
              <w:t xml:space="preserve">6.punktu un attiecīgi papildināt anotāciju ar plašāku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kalibrēšanu tiks ietverta pasūtītāja VSIA "Latvijas Valsts ceļi" līgumā ar izpildītāju (attiecīgi 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5.</w:t>
            </w:r>
            <w:r w:rsidR="00000000" w:rsidRPr="00000000" w:rsidDel="00000000">
              <w:rPr>
                <w:b w:val="1"/>
                <w:vertAlign w:val="superscript"/>
                <w:rtl w:val="0"/>
              </w:rPr>
              <w:t xml:space="preserve">3</w:t>
            </w:r>
            <w:r w:rsidR="00000000" w:rsidRPr="00000000" w:rsidDel="00000000">
              <w:rPr>
                <w:b w:val="1"/>
                <w:rtl w:val="0"/>
              </w:rPr>
              <w:t xml:space="preserve"> punktā ietverto pierādījumu par iejaukšanos aizsargātajā programmatūrā pieejamības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Izvērtējams, vai 12 mēnešus ilgs pierādījumu par iejaukšanos aizsargātajā programmatūrā pieejamības termiņš ir pietiekams (piem., vērtējot kopsakarā ar pārkāpuma noilgumu). Lūdzam attiecīgu pamatojumu ietvert sākotnējās ietekmes (ex-ante) novērtējuma ziņojumā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prasības par obligāto informāciju, kas jānorāda uz tehniskā līdzekļa korpusa, prasībām par vidējā braukšanas ātruma kontroles sistēmām, to precizitāti, darbības temperatūras diapazonu un  aizsardzību pret nesankcionētu iejaukšanos programatūrā.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w:t>
            </w:r>
            <w:r w:rsidR="00000000" w:rsidRPr="00000000" w:rsidDel="00000000">
              <w:rPr>
                <w:vertAlign w:val="superscript"/>
                <w:rtl w:val="0"/>
              </w:rPr>
              <w:t xml:space="preserve">4</w:t>
            </w:r>
            <w:r w:rsidR="00000000" w:rsidRPr="00000000" w:rsidDel="00000000">
              <w:rPr>
                <w:rtl w:val="0"/>
              </w:rPr>
              <w:t xml:space="preserve"> punktā noteikts, ka programmatūras identifikāciju nodrošina pats tehniskais līdzeklis, un pierādījumiem par iejaukšanos aizsargātajā programmatūrā jābūt pieejamiem vismaz 12 mēnešus pēc iejaukšanās. Šis termiņš ir atbilstošs, ņemot vērā Administratīvās atbildības likuma 118.panta pirmo daļu, kas noteic, ka administratīvā pārkāpuma procesu var uzsākt ne vēlāk kā viena gada laikā no pārkāpuma izdarīšanas dienas, bet, ja pārkāpums ir ilgstošs, — no pārkāpuma pārtraukšanas dienas. Turklāt Ministru kabineta 2017. gada 28. novembra noteikumu Nr. 704 “Prasības transportlīdzekļu braukšanas ātruma mērierīcēm” 20. punkts jau no 2018.gada un arī šobrīd paredz, ka uz visām ātruma mērierīcēm (līdz šim arī uz vidējā ātruma kontroles ierīcēm) ir attiecināta prasība, ka pierādījumiem par iejaukšanos aizsargātajā programmatūrā jābūt pieejamiem vismaz 12 mēnešus pēc iejaukšanās. Līdz ar to, lai termiņš būtu vienāds visiem tehniskajiem līdzekļiem, kas tiek izmantoti pārkāpumu fiksēšanai, neapturot transportlīdzekli, arī Noteikumu 5.</w:t>
            </w:r>
            <w:r w:rsidR="00000000" w:rsidRPr="00000000" w:rsidDel="00000000">
              <w:rPr>
                <w:vertAlign w:val="superscript"/>
                <w:rtl w:val="0"/>
              </w:rPr>
              <w:t xml:space="preserve">4</w:t>
            </w:r>
            <w:r w:rsidR="00000000" w:rsidRPr="00000000" w:rsidDel="00000000">
              <w:rPr>
                <w:rtl w:val="0"/>
              </w:rPr>
              <w:t xml:space="preserve"> punktā noteikts 12 mēnešu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Informāciju par vietām, kur uzstādīti stacionāros tehniskos līdzekļi, norādot tehniskā līdzekļa veidu un atrašanās vietu jāpublicē nacionālajā piekļuves punktā transportdata.gov.lv.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w:t>
            </w:r>
            <w:r w:rsidR="00000000" w:rsidRPr="00000000" w:rsidDel="00000000">
              <w:rPr>
                <w:vertAlign w:val="superscript"/>
                <w:rtl w:val="0"/>
              </w:rPr>
              <w:t xml:space="preserve">5</w:t>
            </w:r>
            <w:r w:rsidR="00000000" w:rsidRPr="00000000" w:rsidDel="00000000">
              <w:rPr>
                <w:rtl w:val="0"/>
              </w:rPr>
              <w:t xml:space="preserve"> punktu, ietverot tajā tiešu norādi par kompetento institūciju, kuras pienākums būs publicēt nacionālajā piekļuves punktā </w:t>
            </w:r>
            <w:r w:rsidR="00000000" w:rsidRPr="00000000" w:rsidDel="00000000">
              <w:rPr>
                <w:i w:val="1"/>
                <w:u w:val="single"/>
                <w:rtl w:val="0"/>
              </w:rPr>
              <w:t xml:space="preserve">transportdata.gov.lv</w:t>
            </w:r>
            <w:r w:rsidR="00000000" w:rsidRPr="00000000" w:rsidDel="00000000">
              <w:rPr>
                <w:rtl w:val="0"/>
              </w:rPr>
              <w:t xml:space="preserve"> informāciju par vietām, kurās uzstādīti stacionārie tehniskie līdzekļi, kā arī pienākums aktualizēt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5.</w:t>
            </w:r>
            <w:r w:rsidR="00000000" w:rsidRPr="00000000" w:rsidDel="00000000">
              <w:rPr>
                <w:vertAlign w:val="superscript"/>
                <w:rtl w:val="0"/>
              </w:rPr>
              <w:t xml:space="preserve">5</w:t>
            </w:r>
            <w:r w:rsidR="00000000" w:rsidRPr="00000000" w:rsidDel="00000000">
              <w:rPr>
                <w:rtl w:val="0"/>
              </w:rPr>
              <w:t xml:space="preserve"> punkta pirmajā teikumā nepieciešams aizstāt vārdus "uzstādīti stacionāros tehniskos līdzekļi" ar vārdiem "uzstādīti stacionārie tehniskie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noteikumu konsolidētās versijas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un valsts vai pašvaldības ceļa pārvaldītājs, nodrošinot tehnisko līdzekļu darbību, iesniedz transportlīdzekļu un to vadītāju valsts reģistrā, izmantojot valsts akciju sabiedrības "Ceļu satiksmes drošības direkcija" nodrošināto risinājumu automatizētai informācijas apmaiņai tiešsaistes režīmā (WEB servisu), šādu informāciju par fiksēto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piedāvātajā 6.punktā vārdus "izmantojot valsts akciju sabiedrības "Ceļu satiksmes drošības direkcija" nodrošināto risinājumu automatizētai informācijas apmaiņai tiešsaistes režīmā (WEB servisu)", jo veidu, kādā informācija par fiksēto pārkāpumu iesniedzama transportlīdzekļu un to vadītāju valsts reģistrā, nosaka piedāvātais 7.punkta regulējums, kas cita starpā paredz arī, ka attiecīgā informācija var tikt nodota, izmantojot Iekšlietu ministrijas Informācijas centra nodrošināto koplietošanas tehnoloģisko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ceļa pārvaldītājs un dzelzceļa infrastruktūras pārvaldītājs,  nodrošinot tehnisko līdzekļu darbību, iesniedz transportlīdzekļu un to vadītāju valsts reģistrā šādu informāciju par fiksēto pārkāpumu: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un valsts vai pašvaldības ceļa pārvaldītājs, nodrošinot tehnisko līdzekļu darbību, iesniedz transportlīdzekļu un to vadītāju valsts reģistrā, izmantojot valsts akciju sabiedrības "Ceļu satiksmes drošības direkcija" nodrošināto risinājumu automatizētai informācijas apmaiņai tiešsaistes režīmā (WEB servisu), šādu informāciju par fiksēto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Ceļu satiksmes likuma 43.</w:t>
            </w:r>
            <w:r w:rsidR="00000000" w:rsidRPr="00000000" w:rsidDel="00000000">
              <w:rPr>
                <w:vertAlign w:val="superscript"/>
                <w:rtl w:val="0"/>
              </w:rPr>
              <w:t xml:space="preserve">7</w:t>
            </w:r>
            <w:r w:rsidR="00000000" w:rsidRPr="00000000" w:rsidDel="00000000">
              <w:rPr>
                <w:rtl w:val="0"/>
              </w:rPr>
              <w:t xml:space="preserve">panta pirmās daļas regulējumam gan Valsts policija, gan arī pašvaldības policija var noslēgt deleģēšanas līgumu ar dzelzceļa infrastruktūras pārvaldītāju, paredzot tam uzdevumu nodrošināt tehnisko līdzekļu uzstādīšanu attiecīgo pārkāpumu fiksēšanai, neapturot transportlīdzekli, un to darbības nodrošināšanu. Tādējādi, ja šāds deleģēšanas līgums tiktu noslēgts, tad uz to pilnībā būtu jāattiecina arī šajā tiesību aktā ietvertais regulējums par informācijas nodošanu transportlīdzekļu un to vadītāju valsts reģistram. Līdz ar to nepieciešams precizēt piedāvāto 6.punktu, papildinot tajā minēto institūciju uzskaitījumu ar jaunu subjektu - dzelzceļa infrastruktūras pārvaldītājs.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ceļa pārvaldītājs un dzelzceļa infrastruktūras pārvaldītājs,  nodrošinot tehnisko līdzekļu darbību, iesniedz transportlīdzekļu un to vadītāju valsts reģistrā šādu informāciju par fiksēto pārkāpumu: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Ceļu satiksmes likumam vai Autoceļu lietošanas nodevas likumam (piemēram, braukšanas ātruma neievērošana vai autoceļu lietošanas nodevas maksāšanas noteikumu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šā tiesību akta 2.punkta regulējumam, tehniskos līdzekļus uz Latvijas ceļiem uzstāda vietās, kur nepieciešams kontrolēt arī Autopārvadājumu likuma prasību pārkāpumus. Līdz ar to nepieciešams precizēt piedāvāto 6.1.apakšpunktu, papildinot to ar tiešu norādi uz Autopārvadājumu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pārkāpuma veids;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Ceļu satiksmes likumam vai Autoceļu lietošanas nodevas likumam (piemēram, braukšanas ātruma neievērošana vai autoceļu lietošanas nodevas maksāšanas noteikumu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atsauču uz citiem normatīvajiem aktiem ietveršanas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izvairīties no atsaucēm uz nacionālo regulējumu. Ir ieteicams aprakstīt 6.1.apakšpunktā minētās fiksētā pārkāpuma grupas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pārkāpuma veids;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iekārtas sērijas numurs un iekārtas pieļaujamā kļūda (ja fiksēta braukšanas ātruma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šajā tiesību normā minētais nosacījums par pienākumu norādīt iekārtas pieļaujamo kļūdu būtu attiecināms ne vien uz tiem pārkāpumiem, kad tiek fiksēta braukšanas ātruma neievērošana, bet arī uz pārkāpumiem, kad, sverot transportlīdzekli gaitā (kustībā), tiks fiksēta transportlīdzekļa faktiskās masas vai tā ass slodzes pārsniegšana. Līdz ar to nepieciešams attiecīgi precizēt piedāvāto 6.9.apakšpunkta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(modelis), iekārtas sērijas numurs un iekārtas pieļaujamā kļūda (ja fiksēta braukšanas ātruma neievērošana vai transportlīdzekļa (transportlīdzekļu sastāva) pilnās masas, atļautās faktiskās masas vai pieļaujamās ass slodzes pārsniegšana);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ja fiksēta vidējā braukšanas ātruma neievērošana, papildus iesniedz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Ceļu satiksmes likuma 55.panta regulējumam persona saucama pie administratīvās atbildības par atļautā braukšanas ātruma neievērošanu, Proti, Ceļu satiksmes likumā nav paredzēta administratīvās atbildības iestāšanās </w:t>
            </w:r>
            <w:r w:rsidR="00000000" w:rsidRPr="00000000" w:rsidDel="00000000">
              <w:rPr>
                <w:u w:val="single"/>
                <w:rtl w:val="0"/>
              </w:rPr>
              <w:t xml:space="preserve">par vidējā braukšanas ātruma neievērošanu</w:t>
            </w:r>
            <w:r w:rsidR="00000000" w:rsidRPr="00000000" w:rsidDel="00000000">
              <w:rPr>
                <w:rtl w:val="0"/>
              </w:rPr>
              <w:t xml:space="preserve">. Atļauto braukšanas ātrumu konkrētos gadījumos vai attiecībā uz konkrētiem transportlīdzekļu veidiem nosaka ar ārējiem normatīvajiem aktiem (sk. Ceļu satiksmes noteikumu 9.nodaļā ietverto regulējumu), bet maksimālā braukšanas ātruma ierobežojumus konkrētos ceļu posmos pamatā nosaka ar attiecīgām ceļa zīmēm. Savukārt atbilstoši Ceļu satiksmes likuma 43.</w:t>
            </w:r>
            <w:r w:rsidR="00000000" w:rsidRPr="00000000" w:rsidDel="00000000">
              <w:rPr>
                <w:vertAlign w:val="superscript"/>
                <w:rtl w:val="0"/>
              </w:rPr>
              <w:t xml:space="preserve">4</w:t>
            </w:r>
            <w:r w:rsidR="00000000" w:rsidRPr="00000000" w:rsidDel="00000000">
              <w:rPr>
                <w:rtl w:val="0"/>
              </w:rPr>
              <w:t xml:space="preserve"> panta regulējumam noteiktā braukšanas ātruma ievērošanu kontrolē Valsts policija (kopš 2023.gada 6.jūlija arī pašvaldības policija) ar šim nolūkam paredzētiem tehniskiem līdzekļiem. Tādējādi piedāvātajā 6.10.apakšpunktā nav korekta vārdkopas "ja fiksēta vidējā braukšanas ātruma neievērošana"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izteikt 6.10.apakšpunktu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ja braukšanas ātruma neievērošana fiksēta, izmantojot vidējā braukšanas ātruma kontroles sistēmu, papildus iesniedz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ja braukšanas ātruma neievērošana fiksēta, izmantojot vidējā braukšanas ātruma kontroles sistēmu, papildus iesniedz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ja fiksēta ass svara un transportlīdzekļa kopējā masas pārsniegums, papildus iesniedz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transportlīdzekļa katras ass 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transportlīdzekļa kopējā masa.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transportlīdzekļa svēršanas rezultātā tiek noskaidrota transportlīdzekļa faktiskā masa (jeb transportlīdzekļa kopējā faktiskā masa). Bet viens no transportlīdzekļa kopējo faktisko masu raksturojošiem parametriem ir ass slodzes mērījums. Līdz ar to nepieciešams attiecīgi precizēt piedāvāto 6.12.apakšpunkta regulējumu (tajā ietverto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Autopārvadājumu likuma 54.panta regulējums paredz administratīvo atbildību par transportlīdzekļa pilnās masas vai atļautās faktiskās masas pārsniegšanu, kā arī par transportlīdzekļa izgatavotāja noteiktās slodzes sadalījuma uz asīm pārsniegšanu. Līdz ar to nepieciešams izvērtēt, kāda tieši papildus informācija būtu iesniedzama šā tiesību akta 6.punktā minētajiem subjektiem attiecīgo administratīvo pārkāpumu identificēšanai, konkrēti norādot to piedāvātajā 6.12.apakšpunkta regulējumā (tajā ietvertajos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ja fiksēta transportlīdzekļa (transportlīdzekļu sastāva) pilnās masas, atļautās faktiskās masas vai pieļaujamās ass slodzes pārsniegšana, papildus iesniedz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paredzēts, ka paziņojumu nosūta uz oficiālo elektronisko adresi vai elektroniskā pasta adresi. Lūdzam izvērtēt un argumentēti pamatot, ka šādas paziņošanas rezultātā patiešām ir efektīvi īstenots likumdevēja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drīkst izdot tikai tādas normas, kas sasniedz likumdevēja noteikto mērķi (</w:t>
            </w:r>
            <w:r w:rsidR="00000000" w:rsidRPr="00000000" w:rsidDel="00000000">
              <w:rPr>
                <w:i w:val="1"/>
                <w:rtl w:val="0"/>
              </w:rPr>
              <w:t xml:space="preserve">Satversmes tiesas 2018.gada 12.decembra sprieduma lietā Nr.2018-06-0103 18.punkts</w:t>
            </w:r>
            <w:r w:rsidR="00000000" w:rsidRPr="00000000" w:rsidDel="00000000">
              <w:rPr>
                <w:rtl w:val="0"/>
              </w:rPr>
              <w:t xml:space="preserve">). Satversmes tiesa ir norādījusi, ka ar pilnvarojuma mērķi saprot to, ko likumdevējs vēlējies panākt, piešķirot Ministru kabinetam tiesības noregulēt kādu jautājumu (</w:t>
            </w:r>
            <w:r w:rsidR="00000000" w:rsidRPr="00000000" w:rsidDel="00000000">
              <w:rPr>
                <w:i w:val="1"/>
                <w:rtl w:val="0"/>
              </w:rPr>
              <w:t xml:space="preserve">Satversmes tiesas 2007.gada 9.oktobra sprieduma lietā Nr.2007-04-03 19.punkt</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64.panta tvērums noteic pilnvarojuma īstenošanas robežas, kuras izpildvarai ir jāievēro, lai tās izdotie normatīvie tiesību akti nebūtu atzīstami </w:t>
            </w:r>
            <w:r w:rsidR="00000000" w:rsidRPr="00000000" w:rsidDel="00000000">
              <w:rPr>
                <w:i w:val="1"/>
                <w:rtl w:val="0"/>
              </w:rPr>
              <w:t xml:space="preserve">ultra vires</w:t>
            </w:r>
            <w:r w:rsidR="00000000" w:rsidRPr="00000000" w:rsidDel="00000000">
              <w:rPr>
                <w:rtl w:val="0"/>
              </w:rPr>
              <w:t xml:space="preserve">. Tas ietver sevī gan pilnvarojuma ārējās robežas ievērošanu, piemēram, to, ka izpildvarai nav tiesību pieņemt tādas tiesību normas, kas bez likumdevēja pilnvarojuma veidotu jaunas tiesiskās attiecības, gan arī pilnvarojuma iekšējās robežas ievērošanu – to, ka pilnvarojums ir izpildīts tikai tad, ja tas īstenots pienācīgi un pilnā apjomā. Proti, izpildvaras rīcībai jābūt tiesiskai, racionālai, savlaicīgai, kā arī jāatbilst likumdevēja gribai un izvirzītajiem kritērijiem (</w:t>
            </w:r>
            <w:r w:rsidR="00000000" w:rsidRPr="00000000" w:rsidDel="00000000">
              <w:rPr>
                <w:i w:val="1"/>
                <w:rtl w:val="0"/>
              </w:rPr>
              <w:t xml:space="preserve">Xanthaki H. Drafting Legislation: Art and Technology of Rules for Regulation. Oxford: Hart, 2014, p.267</w:t>
            </w:r>
            <w:r w:rsidR="00000000" w:rsidRPr="00000000" w:rsidDel="00000000">
              <w:rPr>
                <w:rtl w:val="0"/>
              </w:rPr>
              <w:t xml:space="preserve">). Likumdevēja piešķirtajam pilnvarojumam jābūt izpildītam tādā apjomā, lai radītais likuma īstenošanas mehānisms būtu efektīvs un pilnībā nodrošinātu likumdevēja noteiktā mērķa sasniegšanu. Turklāt tikai tāds tiesiskais regulējums, kas sasniedz tā mērķi, var tikt atzīts par efektīvu un atbilstošu tiesiskas valsts principam (</w:t>
            </w:r>
            <w:r w:rsidR="00000000" w:rsidRPr="00000000" w:rsidDel="00000000">
              <w:rPr>
                <w:i w:val="1"/>
                <w:rtl w:val="0"/>
              </w:rPr>
              <w:t xml:space="preserve">sal. sk. Satversmes tiesas 2013.gada 19.novembra sprieduma lietā Nr.2013-09-01 12.punktu</w:t>
            </w:r>
            <w:r w:rsidR="00000000" w:rsidRPr="00000000" w:rsidDel="00000000">
              <w:rPr>
                <w:rtl w:val="0"/>
              </w:rPr>
              <w:t xml:space="preserve">) (</w:t>
            </w:r>
            <w:r w:rsidR="00000000" w:rsidRPr="00000000" w:rsidDel="00000000">
              <w:rPr>
                <w:i w:val="1"/>
                <w:rtl w:val="0"/>
              </w:rPr>
              <w:t xml:space="preserve">Satversmes tiesas tiesnešu Daigas Rezevskas un Artūra Kuča atsevišķās domas lietā Nr.2018-16-03, https://likumi.lv/ta/id/307584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daļas mērķis ir nodrošināt, lai personai nekavējoties elektroniski nosūtītu informāciju par iespējamo pārkāpumu, kas fiksēts ar tehnisku līdzekli, neapturot transportlīdzekli. Ir svarīgi, lai persona pēc iespējas ātrāk saņemtu šādu informāciju (</w:t>
            </w:r>
            <w:r w:rsidR="00000000" w:rsidRPr="00000000" w:rsidDel="00000000">
              <w:rPr>
                <w:i w:val="1"/>
                <w:rtl w:val="0"/>
              </w:rPr>
              <w:t xml:space="preserve">Saeimas 2024.gada 1.februāra sēdes stenogramma: likumprojekts "Grozījumi Ceļu satiksmes likumā" (Nr.319/Lp14), 12. un 13.priekšlikums</w:t>
            </w:r>
            <w:r w:rsidR="00000000" w:rsidRPr="00000000" w:rsidDel="00000000">
              <w:rPr>
                <w:rtl w:val="0"/>
              </w:rPr>
              <w:t xml:space="preserve">). Tādējādi nepieciešams "veidot cilvēkam draudzīgu sistēmu, proti, ja radars fiksēja pārkāpumu, lai informācija par to tiktu nosūtīta tai personai īsziņā" (</w:t>
            </w:r>
            <w:r w:rsidR="00000000" w:rsidRPr="00000000" w:rsidDel="00000000">
              <w:rPr>
                <w:i w:val="1"/>
                <w:rtl w:val="0"/>
              </w:rPr>
              <w:t xml:space="preserve">Saeimas 2024.gada 2.maija sēdes stenogramma: likumprojekts "Grozījumi Ceļu satiksmes likumā" (Nr. 319/Lp14), 3. un 4.priekšlikums)</w:t>
            </w:r>
            <w:r w:rsidR="00000000" w:rsidRPr="00000000" w:rsidDel="00000000">
              <w:rPr>
                <w:rtl w:val="0"/>
              </w:rPr>
              <w:t xml:space="preserve">. Kā tas tika uzsvērts likumprojekta sagatavošanas laikā, ir jāveido "cita apzināšanas sistēma" un personai jāsaņem īsziņa vai e-pasts par fiksēto pārkāpumu. Ministru kabinetam ir uzdevums noteikt šādu paziņošanas kārtību (</w:t>
            </w:r>
            <w:r w:rsidR="00000000" w:rsidRPr="00000000" w:rsidDel="00000000">
              <w:rPr>
                <w:i w:val="1"/>
                <w:rtl w:val="0"/>
              </w:rPr>
              <w:t xml:space="preserve">Saeimas Juridiskās komisijas Krimināltiesību un sodu politikas apakškomisijas 2023.gada 21.novembra sēdes protokols Nr.141.1.9/3/1-22-14/23, 15. un 16.priekšlikums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Paziņošana, izmantojot oficiālo elektronisko adresi vai elektronisko pastu, ir informācijas paziņošanas elektroniski veids. Tomēr šādā veidā paziņošana joprojām ir salīdzinoši lēna. Informācija uzskatāma par paziņotu otrajā darba dienā pēc tās nosūtīšanas (Paziņošanas likuma 9.pants). Šo prezumpciju projektā nav pieļaujams mainīt. Savukārt, ja paziņošanai izmantotu īsziņas, varētu izveidot salīdzinoši vēl ātrāku paziņošanas veidu. Saprātīga paziņošanas laika prezumpcija ir vēl apsverama, taču, domājams, varētu normatīvi izveidot prezumpciju, ka informācija šādā gadījumā uzskatāma par paziņotu pēc 12 (vai 24) stundām pēc tās nosūtīšanas.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Paziņojumam ir informatīvs raksturs un tas ir derīgs bez amatpersonas paraksta.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paredzēts, ka paziņojumam ir informatīvs raksturs un tas ir derīgs bez amatpersonas paraksta. Pretēji tam paziņojums tomēr rada tiesiskas sekas un ir būtisks, piemērojot administratīvo atbildību. Izvērtējami veidi, kā apliecināt paziņojuma autentiskumu un uzticamību. Jebkuri izņēmumi no šīs prasības argumentēti skaidrojami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neatbilstoši norādīts, ka paziņojumam ir informatīvs raksturs. Tas ir būtisks, vērtējot jautājumu par administratīvās atbildības piemērošanu. Piemēram, Administratīvās atbildības likuma 26.panta pirmajā daļā ir noteikts, ka atsevišķs ilgstošs administratīvais pārkāpums ir uzskatāms par pabeigtu brīdī, kad persona to pārtrauc, beidz pastāvēt pārkāpuma pamatā esošais tiesiskais pienākums, personai paziņo par fiksēto pārkāpumu vai piemēro administratīvo sodu. Vārdi "personai paziņo par fiksēto pārkāpumu" pamatā norāda tieši uz projektā regulēto paziņojumu. Līdz ar to šāds paziņojums ir juridiski nozīmīgs. Attiecīgi no projekta izslēdzama norāde, ka paziņojumam ir (tikai) informatīvs raksturs, tostarp nav izmantojams apzīmējums "informatīvs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paziņojums ir derīgs bez amatpersonas paraksta. Tam, ka amatpersonai vai jebkuram citam nodarbinātajam šāda veida paziņojumi nebūtu jāparaksta, var tikai piekrist. Paziņošana veidojama iespējami automatizēti, cik vien tas ir iespējams bez cilvēka līdzdalības.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juridiski nozīmīgam dokumentam jāpiemīt tādām īpašībām kā uzticamībai un autentiskumam (</w:t>
            </w:r>
            <w:r w:rsidR="00000000" w:rsidRPr="00000000" w:rsidDel="00000000">
              <w:rPr>
                <w:i w:val="1"/>
                <w:rtl w:val="0"/>
              </w:rPr>
              <w:t xml:space="preserve">Informācijas un komunikāciju tiesības. I sējums. Ulda Ķiņa redakcijā. Rīga: Biznesa augstskola Turība, 2002, 65.-66.lpp.</w:t>
            </w:r>
            <w:r w:rsidR="00000000" w:rsidRPr="00000000" w:rsidDel="00000000">
              <w:rPr>
                <w:rtl w:val="0"/>
              </w:rPr>
              <w:t xml:space="preserve">). Mūsdienas personas pašrocīgs paraksts nav vienīgais veids, kā nodrošināt iepriekš minētās dokumenta īpašības. Piemēram, dokumenta izcelsmi un integritāti var apliecināt arī kvalificēts elektroniskais zīmogs un laika zīmogs. Tāda pieeja ir piemērota arī automatizētai paziņošanai.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pilnībā izslēgts, ka ir situācijas, kad īpaši dokumenta uzticamības vai autentiskuma apliecinājumi nav nepieciešami vai nav lietderīgi. Tomēr šādiem izņēmuma gadījumiem jābūt argumentēti izvērtētiem. Projekta anotācijā šāds pamatojums nav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saistīti ar 2025.gada 18.februāra grozījumiem MK 2024. gada 14. maija noteikumos Nr. 289 "Noteikumi par valsts metroloģiskajai kontrolei pakļauto mērīšanas līdzekļu sarakstu" (24-TA-1416), kas noteica atteikšanos no vidējā ātruma kontroles sistēmu pirmreizējās un atkārtotās verificēšanas, tādējādi mazinot administratīvo slogu lietotājiem, aicinām anotācijas 2.sadaļu papildināt ar atsauci uz minēto normatīvo aktu, kurā ir aprēķināts administratīvā sloga samazinājums (https://tapportals.mk.gov.lv/annotation/c0f3dce3-79cb-475e-be0e-1929f57cb7b7).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tabulā nav norādītā ietekme uz budžetu, aicinām pie jautājuma “Vai projekts skar šo jomu?” norādīt “Nē”, vienlaikus saglabājot sniegto informāciju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4.1.3. apakšsadaļu ar informāciju līdz kuram laikam Satiksmes ministrija plāno veikt grozījumus Ministru kabineta 2008. gada 25. augusta noteikumos Nr. 693 “Noteikumi par mērīšanas līdzekļu kalibrēšanu”.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7</w:t>
            </w:r>
            <w:r w:rsidR="00000000" w:rsidRPr="00000000" w:rsidDel="00000000">
              <w:rPr>
                <w:rtl w:val="0"/>
              </w:rPr>
              <w:t xml:space="preserve"> panta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tiesību akta izdošanas pamatojumā skaitli "1</w:t>
            </w:r>
            <w:r w:rsidR="00000000" w:rsidRPr="00000000" w:rsidDel="00000000">
              <w:rPr>
                <w:vertAlign w:val="superscript"/>
                <w:rtl w:val="0"/>
              </w:rPr>
              <w:t xml:space="preserve">1</w:t>
            </w:r>
            <w:r w:rsidR="00000000" w:rsidRPr="00000000" w:rsidDel="00000000">
              <w:rPr>
                <w:rtl w:val="0"/>
              </w:rPr>
              <w:t xml:space="preserve">." ar skaitli "1.</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.daļā minētajos gadījumos ar tehniskajiem līdzekļiem fiksētā informācija paziņojama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2.punktā ietvertajā 1.3.apakšpunktā, cik iespējams, precīzi citēt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daļā Ministru kabinetam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noteikumu Nr.108 100.punktu projekta pirmajā punktā secīgi rakstāmi vārdi "noteikumi nosaka" un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Citējot vārds vārdā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minēto deleģējumu Ministru kabinetam, nebūs izprotama tā jēga.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w:t>
            </w:r>
            <w:r w:rsidR="00000000" w:rsidRPr="00000000" w:rsidDel="00000000">
              <w:rPr>
                <w:rtl w:val="0"/>
              </w:rPr>
              <w:t xml:space="preserve"> minētajos gadījumos ar tehniskajiem līdzekļiem fiksētā informācija paziņojama adresātam.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.daļā minētajos gadījumos ar tehniskajiem līdzekļiem fiksētā informācija paziņojama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piedāvātajā 1.3.apakšpunktā skaitli "43</w:t>
            </w:r>
            <w:r w:rsidR="00000000" w:rsidRPr="00000000" w:rsidDel="00000000">
              <w:rPr>
                <w:vertAlign w:val="superscript"/>
                <w:rtl w:val="0"/>
              </w:rPr>
              <w:t xml:space="preserve">7</w:t>
            </w:r>
            <w:r w:rsidR="00000000" w:rsidRPr="00000000" w:rsidDel="00000000">
              <w:rPr>
                <w:rtl w:val="0"/>
              </w:rPr>
              <w:t xml:space="preserve">." ar skaitli "43.</w:t>
            </w:r>
            <w:r w:rsidR="00000000" w:rsidRPr="00000000" w:rsidDel="00000000">
              <w:rPr>
                <w:vertAlign w:val="superscript"/>
                <w:rtl w:val="0"/>
              </w:rPr>
              <w:t xml:space="preserve">7</w:t>
            </w:r>
            <w:r w:rsidR="00000000" w:rsidRPr="00000000" w:rsidDel="00000000">
              <w:rPr>
                <w:rtl w:val="0"/>
              </w:rPr>
              <w:t xml:space="preserve">" un skaitli "1</w:t>
            </w:r>
            <w:r w:rsidR="00000000" w:rsidRPr="00000000" w:rsidDel="00000000">
              <w:rPr>
                <w:vertAlign w:val="superscript"/>
                <w:rtl w:val="0"/>
              </w:rPr>
              <w:t xml:space="preserve">1</w:t>
            </w:r>
            <w:r w:rsidR="00000000" w:rsidRPr="00000000" w:rsidDel="00000000">
              <w:rPr>
                <w:rtl w:val="0"/>
              </w:rPr>
              <w:t xml:space="preserve">." ar skaitli "1.</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w:t>
            </w:r>
            <w:r w:rsidR="00000000" w:rsidRPr="00000000" w:rsidDel="00000000">
              <w:rPr>
                <w:rtl w:val="0"/>
              </w:rPr>
              <w:t xml:space="preserve"> minētajos gadījumos ar tehniskajiem līdzekļiem fiksētā informācija paziņojama adresātam.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3.punktā ietvertajā 1.</w:t>
            </w:r>
            <w:r w:rsidR="00000000" w:rsidRPr="00000000" w:rsidDel="00000000">
              <w:rPr>
                <w:vertAlign w:val="superscript"/>
                <w:rtl w:val="0"/>
              </w:rPr>
              <w:t xml:space="preserve">1</w:t>
            </w:r>
            <w:r w:rsidR="00000000" w:rsidRPr="00000000" w:rsidDel="00000000">
              <w:rPr>
                <w:rtl w:val="0"/>
              </w:rPr>
              <w:t xml:space="preserve"> 2.apakšpunktā norādītā termina "mērķa transportlīdzeklis"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pārkāpumu veic ar transportlīdzekli, nevis transportlīdzeklis veic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brīdī,  kad mērķa transportlīdzeklis šķērso kontroles vietu, notiek mērķa transportlīdzekļa fotoattēla vai fotoattēlu secīga kopuma ģenerēšana un šķērsošanas brīža laika reģistrācija, kas ir aizsargāta ar laika zīmogu,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ir  iespējams veikt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7.1.  ±3 km/h,  ja mērķa transportlīdzekļa vidējais  braukšanas  ātrums  nepārsniedz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7.2. .±3 % no mērķa transportlīdzekļa vidējā braukšanas ātruma, ja mērķa transportlīdzekļa vidējais braukšanas ātrums 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7.punktā ietvertajā 5.</w:t>
            </w:r>
            <w:r w:rsidR="00000000" w:rsidRPr="00000000" w:rsidDel="00000000">
              <w:rPr>
                <w:vertAlign w:val="superscript"/>
                <w:rtl w:val="0"/>
              </w:rPr>
              <w:t xml:space="preserve">1</w:t>
            </w:r>
            <w:r w:rsidR="00000000" w:rsidRPr="00000000" w:rsidDel="00000000">
              <w:rPr>
                <w:rtl w:val="0"/>
              </w:rPr>
              <w:t xml:space="preserve">2.apakšpunktā un 12.punktā ietvertajā 6.5.apakšpunktā lietot vienveidīgu Ceļu satiksmes likumam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Ceļu satiksmes likumā tiek lietoti termini "valsts reģistrācijas numurs" un "valsts reģistrācijas numura 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brīdī,  kad mērķa transportlīdzeklis šķērso kontroles vietu, notiek mērķa transportlīdzekļa fotoattēla vai fotoattēlu secīga kopuma ģenerēšana un šķērsošanas brīža laika reģistrācija, kas ir aizsargāta ar laika zīmogu,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ir  iespējams veikt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7.1.  ±3 km/h,  ja mērķa transportlīdzekļa vidējais  braukšanas  ātrums  nepārsniedz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7.2. .±3 % no mērķa transportlīdzekļa vidējā braukšanas ātruma, ja mērķa transportlīdzekļa vidējais braukšanas ātrums 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w:t>
            </w:r>
            <w:r w:rsidR="00000000" w:rsidRPr="00000000" w:rsidDel="00000000">
              <w:rPr>
                <w:vertAlign w:val="superscript"/>
                <w:rtl w:val="0"/>
              </w:rPr>
              <w:t xml:space="preserve">1</w:t>
            </w:r>
            <w:r w:rsidR="00000000" w:rsidRPr="00000000" w:rsidDel="00000000">
              <w:rPr>
                <w:rtl w:val="0"/>
              </w:rPr>
              <w:t xml:space="preserve"> punktā ietverto apakšpunktu numerāciju, veidojot vārdkopu "ekspluatācijas temperatūras diapazons no vismaz -25 °C līdz ne mazāk kā +50 °C;" kā atsevišķu projekta 5.</w:t>
            </w:r>
            <w:r w:rsidR="00000000" w:rsidRPr="00000000" w:rsidDel="00000000">
              <w:rPr>
                <w:vertAlign w:val="superscript"/>
                <w:rtl w:val="0"/>
              </w:rPr>
              <w:t xml:space="preserve">1</w:t>
            </w:r>
            <w:r w:rsidR="00000000" w:rsidRPr="00000000" w:rsidDel="00000000">
              <w:rPr>
                <w:rtl w:val="0"/>
              </w:rPr>
              <w:t xml:space="preserve"> punkta vienību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līdzekļa dati un uzglabājamie vai pārraidāmie būtiskie parametri ir atbilstoši aizsargāti pret  nejaušu vai  apzinātu iejaukšanos un nodrošina datu  integritāti saskaņā ar normatīvajiem aktiem par informācijas un komunikācijas tehnoloģiju sistēmas atbilstību minimālajām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10.punktā ietverto 5.</w:t>
            </w:r>
            <w:r w:rsidR="00000000" w:rsidRPr="00000000" w:rsidDel="00000000">
              <w:rPr>
                <w:vertAlign w:val="superscript"/>
                <w:rtl w:val="0"/>
              </w:rPr>
              <w:t xml:space="preserve">4</w:t>
            </w:r>
            <w:r w:rsidR="00000000" w:rsidRPr="00000000" w:rsidDel="00000000">
              <w:rPr>
                <w:rtl w:val="0"/>
              </w:rPr>
              <w:t xml:space="preserve">punktu, norādot terminu "tehniskā līdzekļa" dati, nevis "līdzekļa"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precizēt projekta 10.punktā paredzētajā 5.</w:t>
            </w:r>
            <w:r w:rsidR="00000000" w:rsidRPr="00000000" w:rsidDel="00000000">
              <w:rPr>
                <w:vertAlign w:val="superscript"/>
                <w:rtl w:val="0"/>
              </w:rPr>
              <w:t xml:space="preserve">4</w:t>
            </w:r>
            <w:r w:rsidR="00000000" w:rsidRPr="00000000" w:rsidDel="00000000">
              <w:rPr>
                <w:rtl w:val="0"/>
              </w:rPr>
              <w:t xml:space="preserve">punktā ietverto atsauci uz normatīvajiem aktiem par informācijas un komunikācijas tehnoloģiju sistēmas atbilstību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spēkā Nacionālās kiberdrošības likums, savukārt Informācijas tehnoloģiju drošības likums un uz tā pamata izdotie Ministru kabineta 2015.gada 28.jūlija noteikumi Nr.442 "Kārtība, kādā tiek nodrošināta informācijas un komunikācijas tehnoloģiju sistēmu atbilstība minimālajām drošības prasībām"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Tehniskā līdzekļa dati un visi uzglabājamie vai pārraidāmie būtiskie parametri ir jānodrošina  pret  nejaušu vai  apzinātu iejaukšanos, kā arī jānodrošina datu  integritāte atbilstoši normatīvajiem aktiem par minimālajām kiberdrošības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līdzekļa dati un uzglabājamie vai pārraidāmie būtiskie parametri ir atbilstoši aizsargāti pret  nejaušu vai  apzinātu iejaukšanos un nodrošina datu  integritāti saskaņā ar normatīvajiem aktiem par informācijas un komunikācijas tehnoloģiju sistēmas atbilstību minimālajām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w:t>
            </w:r>
            <w:r w:rsidR="00000000" w:rsidRPr="00000000" w:rsidDel="00000000">
              <w:rPr>
                <w:vertAlign w:val="superscript"/>
                <w:rtl w:val="0"/>
              </w:rPr>
              <w:t xml:space="preserve">4</w:t>
            </w:r>
            <w:r w:rsidR="00000000" w:rsidRPr="00000000" w:rsidDel="00000000">
              <w:rPr>
                <w:rtl w:val="0"/>
              </w:rPr>
              <w:t xml:space="preserve"> punktu, papildinot to pirms vārda "līdzekļa" ar vārdu "Tehniskā".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Tehniskā līdzekļa dati un visi uzglabājamie vai pārraidāmie būtiskie parametri ir jānodrošina  pret  nejaušu vai  apzinātu iejaukšanos, kā arī jānodrošina datu  integritāte atbilstoši normatīvajiem aktiem par minimālajām kiberdrošības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Informāciju par vietām, kur uzstādīti stacionāros tehniskos līdzekļi, norādot tehniskā līdzekļa veidu un atrašanās vietu jāpublicē nacionālajā piekļuves punktā transportdata.gov.lv.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11.punktā ietvertajā 5.</w:t>
            </w:r>
            <w:r w:rsidR="00000000" w:rsidRPr="00000000" w:rsidDel="00000000">
              <w:rPr>
                <w:vertAlign w:val="superscript"/>
                <w:rtl w:val="0"/>
              </w:rPr>
              <w:t xml:space="preserve">5</w:t>
            </w:r>
            <w:r w:rsidR="00000000" w:rsidRPr="00000000" w:rsidDel="00000000">
              <w:rPr>
                <w:rtl w:val="0"/>
              </w:rPr>
              <w:t xml:space="preserve"> punktā lietot Ceļu satiksmes likumam atbilstošu terminoloģiju. Proti, Ceļu satiksmes likumā tiek lietots termins "transporta nozares informācijas nacionālais (valsts) piekļuves punkts", nevis "nacionālais piekļuves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precizēt projekta 14.punktā ietvertās IV.nodaļas nosaukumu, tā kā ar Ceļa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 daļu Ministru kabinets ir pilnvarots paziņot tikai par ar tehniskajiem līdzekļiem fiksēto transportlīdzekļa izmantošanu ceļu satiksmē, kuram noteiktajā termiņā nav veikta valsts tehniskā apskate vai par kuru nav veikta tā īpašnieka civiltiesiskās atbildības obligātā apdrošināšana. Savukārt pārējos ar tehniskajiem līdzekļiem fiksētos iespējamos pārkāpumus Ministru kabinets nav pilnvarots paziņot.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Informācija, par kuru iespējamo pārkāpumu paziņošana veicama norādīta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izdarīšanu transportlīdzekļu un to vadītāju valsts reģistrā automātiskā datu apstrādes režīmā tiek sagatavots informatīvais paziņojums par fiksēto gadījumu (turpmāk – paziņojums).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8.punktu, papildinot to pēc vārdiem "kas fiksēts ar tehniskajiem līdzekļiem" ar vārdiem "neapturot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izdarīšanu transportlīdzekļu un to vadītāju valsts reģistrā automātiskā datu apstrādes režīmā tiek sagatavots paziņojums par fiksēto gadījumu (turpmāk – paziņojums).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25-TA-2052</w:t>
    </w:r>
    <w:r>
      <w:br/>
    </w:r>
    <w:r w:rsidR="00000000" w:rsidRPr="00000000" w:rsidDel="00000000">
      <w:rPr>
        <w:rtl w:val="0"/>
      </w:rPr>
      <w:t xml:space="preserve">02.02.2026. 15.57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25-TA-2052</w:t>
    </w:r>
    <w:r>
      <w:br/>
    </w:r>
    <w:r w:rsidR="00000000" w:rsidRPr="00000000" w:rsidDel="00000000">
      <w:rPr>
        <w:rtl w:val="0"/>
      </w:rPr>
      <w:t xml:space="preserve">02.02.2026. 15.57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Izziņa_25-TA-2052.docx</dc:title>
</cp:coreProperties>
</file>

<file path=docProps/custom.xml><?xml version="1.0" encoding="utf-8"?>
<Properties xmlns="http://schemas.openxmlformats.org/officeDocument/2006/custom-properties" xmlns:vt="http://schemas.openxmlformats.org/officeDocument/2006/docPropsVTypes"/>
</file>