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23-TA-1091: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vai projekti tiks savstarpēji salīdzināti pēc sadarbības partneru skaitu, t.i., priekšroka atlases ietvaros tiks dota projektiem ar lielāku sadarbības partneru skaitu vai arī pietiek, ka viens projekta sadarbības partneris nodrošina pilnīgu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rezultāta rādītājs “komersanti, kas gūst labumu no attīstītās publiskās infrastruktūras (45 komersanti)” ir noteikts Eiropas Savienības kohēzijas politikas programmā 2021.–2027.gadam.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partneru skaitam nav izšķirošas nozīmes projektu atlases ietvaros  projektu iesniegumi tiks vērtēti pēc  kritērijiem, kas ar 02.08.2023 lēmumu Nr. L-2023/21-27/49 tika apstiprināti ES fondu Uzraudzības komitejas rakstiskajā procedūrā, dokumenti pieejami: </w:t>
            </w:r>
            <w:r w:rsidR="00000000" w:rsidRPr="00000000" w:rsidDel="00000000">
              <w:rPr>
                <w:i w:val="1"/>
                <w:rtl w:val="0"/>
              </w:rPr>
              <w:t xml:space="preserve">https://www.esfondi.lv/profesionaliem/uzraudzibas-komiteja/uk-e-portfelis-2021-2027/2023-07-18_uk_rakstiska_procedura_-izm_4213_lm_4365_4334_sm_3111_3113_varam_5111_vm_4121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projektos, kuros rādītāju devēji ir vairāki komersanti, finansējuma saņēmējs var vadīt rādītāju nesasniegšanas riskus gadījumā, ja kādam no komersantiem projekta īstenošanas laikā mainās plānotā rādītāju izpilde. Proti, ja kāds no komersantiem nesasniedz plānotās rādītāju vērtības, bet cits komersants tās pārsniedz, tiks vērtēta rādītāju vērtību izpilde projektā kopumā.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darba algu fonda pieaugums privātajos komersantos – vismaz 66 555 000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- 10.07.2023.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ieviest iespēju radīt arī jaunas darbavietas, ne tikai palielināt algu fondu, pieņemot, ka viena darbavieta ir 116 777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“9.2. darba algu fonda pieaugums vai jaunu darbavietu radīšana privātajos komersantos – vismaz 66 555 000 euro;”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Pasākuma rezultāta rādītāja “66 555 000 </w:t>
            </w:r>
            <w:r w:rsidR="00000000" w:rsidRPr="00000000" w:rsidDel="00000000">
              <w:rPr>
                <w:i w:val="1"/>
                <w:rtl w:val="0"/>
              </w:rPr>
              <w:t xml:space="preserve">euro</w:t>
            </w:r>
            <w:r w:rsidR="00000000" w:rsidRPr="00000000" w:rsidDel="00000000">
              <w:rPr>
                <w:rtl w:val="0"/>
              </w:rPr>
              <w:t xml:space="preserve"> darba algu fonda pieaugums privātajos komersantos” sasniegšanā ir pieļaujama gan jaunu darbavietu radīšana, gan esošo darbavietu algu fonda palielināšana, proti, rādītāja izpildē tiks ieskaitīts gan jaunradīto darbavietu kopējā summa, gan esošo darbavietu darba samaksas pieaugums kumulatīvi – izmaksas, kas radušās komersantam. Skat.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MK noteikumu projektā nav norādīta 1 darbavietas vērtība, jo 5.1.1.1. pasākuma rezultāta rādītāji neparedz noteiktu skaitu jaunu darbavietu, kas būtu projektā jāizveido pret projekta ietvaros piesaistīto ES fondu finansējumu, kā tas ir 6.1.1.3.pasākumā, kur pasākuma īstenošanas rezultātā kopumā plānots izveidot vismaz 422 jaunas darbavietas.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darba algu fonda pieaugums privātajos komersantos – vismaz 66 555 000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500 metriem nacionālas un reģionālas nozīmes attīstības centros (pilsētās) un līdz 1 500 metriem novadu teritorijā ārpus nacionālas un reģionālas nozīmes attīstības centriem, ja komersants pamato ārpus uzņēmējdarbības teritorijas radīto rādītāju sasaisti ar savu saimniecisko darbību, ko tas veic uzņēmējdarbības teritorijā. Informāciju norāda projektam pievienotajā kartogrāfiskajā materiālā.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1500 metru distanci neatkarīgi no teritoriālās vienības, līdz ar to lūdzam Noteikuma projekta 10.4.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1 500 metriem, ja komersants pamato ārpus uzņēmējdarbības teritorijas radīto rādītāju sasaisti ar savu saimniecisko darbību, ko tas veic uzņēmējdarbības teritorijā. Informāciju norāda projektam pievienotajā kartogrāfiskajā materiālā.”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korekcijas nepieciešamas veikt arī Noteikuma projekta 35.3. apakšpunktā (skatīt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noteikts vienāds attālums rādītāju ieskaitīšanai gan nacionālas un reģionālas nozīmes attīstības centros (pilsētās), gan novadu teritorijās ārpus nacionālas un reģionālas nozīmes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attiecas uz situācijām, kad uzņēmējdarbības teritorijā esošajam komersantam ārpus uzņēmējdarbības teritorijas ir saistīta infrastruktūra, piemēram – ražotne uzņēmējdarbības teritorijā, bet noliktava līdz 1 500 m attālumā no ražotnes. Šajā piemērā var ieskaitīt projektā noliktavā esošās darbavietas un veiktās nefinanšu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neietekmē noteikumu projektā iekļautos nosacījumus par funkcionālā savienojuma attālumu līdz uzņēmējdarbības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500 metriem nacionālas un reģionālas nozīmes attīstības centros (pilsētās) un līdz 1 500 metriem novadu teritorijā ārpus nacionālas un reģionālas nozīmes attīstības centriem, ja komersants pamato ārpus uzņēmējdarbības teritorijas radīto rādītāju sasaisti ar savu saimniecisko darbību, ko tas veic uzņēmējdarbības teritorijā. Informāciju norāda projektam pievienotajā kartogrāfiskajā materiālā.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1500 metru distanci neatkarīgi no teritoriālās vienības, līdz ar to lūdzam Noteikuma projekta 10.4.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1 500 metriem, ja komersants pamato ārpus uzņēmējdarbības teritorijas radīto rādītāju sasaisti ar savu saimniecisko darbību, ko tas veic uzņēmējdarbības teritorijā. Informāciju norāda projektam pievienotajā kartogrāfiskajā materiālā.”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Atbilstošas korekcijas nepieciešamas veikt arī Noteikuma projekta 35.3. apakšpunktā (skatīt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noteikts vienāds attālums rādītāju ieskaitīšanai gan nacionālas un reģionālas nozīmes attīstības centros (pilsētās), gan novadu teritorijās ārpus nacionālas un reģionālas nozīmes attīstības centriem.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nosacījums attiecas uz situācijām, kad uzņēmējdarbības teritorijā esošajam komersantam ārpus uzņēmējdarbības teritorijas ir saistīta infrastruktūra, piemēram – ražotne uzņēmējdarbības teritorijā, bet noliktava līdz 1 500 m attālumā no ražotnes. Šajā piemērā var ieskaitīt projektā noliktavā esošās darbavietas un veiktās nefinanšu investīcijas.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nosacījums neietekmē noteikumu projektā iekļautos nosacījumus par funkcionālā savienojuma attālumu līdz uzņēmējdarbības teritorijai.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 ir radušās projekta iesniedzēja noteiktajā uzņēmējdarbības teritorijā vai ārpus projekta iesniedzēja noteiktās uzņēmējdarbības teritorijas līdz 1500 metriem, ja komersants pamato ārpus uzņēmējdarbības teritorijas radīto rādītāju sasaisti ar saimniecisko darbību, ko tas veic uzņēmējdarbības teritorijā. Informāciju norāda projektam pievienotajā kartogrāfiskajā materiālā.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īstenošanā nodrošina šādu nosacījumu ievērošanu: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(RACA - 10.07.2023.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palielināt attiecību: pret 1 eur algas pieauguma uz lielāku ERAFfinansējuma  īpatsvaru – vismaz 10 eur ERAF pret 1 eur algas pieauguma, pretējā gadījumā pie 500 000 eur ERAF ir jābūt 250 000 eur algas pieaugumam + investīcijas. Gadījumā, ja tiek būvēta ražošanas ēka, tad reāli sasniedzamie rādītāji tikai no iznomāšanas brīža samazina laika periodu, kurā iespējams sasniegt, kā arī, ņemot vērā vidējo darba algu, piemēram, Vidzemes reģionā,  Alūksnes novada pašvaldība norāda, ka nav iespējams sasniegt šos rādītājus. Kā arī jāparedz iespēju radīt jaunas darbavietas, ne tikai palielināt algu fondu.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īstenošanā nodrošina šādu nosacījumu ievērošanu: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 piešķirtā finansējuma ietvaros vidēji viena euro darba algu fonda pieaugumā  privātajos komersantos, kas ir labuma guvēji no pašvaldības izbūvētās vai atjaunotās uzņēmējdarbības infrastruktūras, iegulda ne vairāk kā desmit euro Eiropas Reģionālās attīstības fonda finansējuma vai jaunas darba vietas radīšana , ievērojot attiecību viena darbavieta pret 116 777 EUR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11.2. piesaista šo noteikumu 9.3. apakšpunktā minētās privātās nefinanšu investīcijas vismaz divu trešdaļu apmērā no piešķirtā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rezultāta rādītājs “darba algu fonda pieaugums privātajos komersantos 66 555 000 </w:t>
            </w:r>
            <w:r w:rsidR="00000000" w:rsidRPr="00000000" w:rsidDel="00000000">
              <w:rPr>
                <w:i w:val="1"/>
                <w:rtl w:val="0"/>
              </w:rPr>
              <w:t xml:space="preserve">euro</w:t>
            </w:r>
            <w:r w:rsidR="00000000" w:rsidRPr="00000000" w:rsidDel="00000000">
              <w:rPr>
                <w:rtl w:val="0"/>
              </w:rPr>
              <w:t xml:space="preserve">” ir noteikts Eiropas Savienības kohēzijas politikas programmā 2021.–2027. gadam.  Ņemot vērā, ka pasākumam plānotais ERAF finansējums ir 133,11 milj. </w:t>
            </w:r>
            <w:r w:rsidR="00000000" w:rsidRPr="00000000" w:rsidDel="00000000">
              <w:rPr>
                <w:i w:val="1"/>
                <w:rtl w:val="0"/>
              </w:rPr>
              <w:t xml:space="preserve">euro</w:t>
            </w:r>
            <w:r w:rsidR="00000000" w:rsidRPr="00000000" w:rsidDel="00000000">
              <w:rPr>
                <w:rtl w:val="0"/>
              </w:rPr>
              <w:t xml:space="preserve">, projektos nepieciešams paredzēt, ka piešķirtā finansējuma ietvaros vidēji 1 </w:t>
            </w:r>
            <w:r w:rsidR="00000000" w:rsidRPr="00000000" w:rsidDel="00000000">
              <w:rPr>
                <w:i w:val="1"/>
                <w:rtl w:val="0"/>
              </w:rPr>
              <w:t xml:space="preserve">euro</w:t>
            </w:r>
            <w:r w:rsidR="00000000" w:rsidRPr="00000000" w:rsidDel="00000000">
              <w:rPr>
                <w:rtl w:val="0"/>
              </w:rPr>
              <w:t xml:space="preserve"> darba algu fonda pieaugumā  privātajos komersantos, kas ir labuma guvēji no pašvaldības izbūvētās vai atjaunotās komercdarbības infrastruktūras, tiks ieguldīti ne vairāk kā 2 </w:t>
            </w:r>
            <w:r w:rsidR="00000000" w:rsidRPr="00000000" w:rsidDel="00000000">
              <w:rPr>
                <w:i w:val="1"/>
                <w:rtl w:val="0"/>
              </w:rPr>
              <w:t xml:space="preserve">euro</w:t>
            </w:r>
            <w:r w:rsidR="00000000" w:rsidRPr="00000000" w:rsidDel="00000000">
              <w:rPr>
                <w:rtl w:val="0"/>
              </w:rPr>
              <w:t xml:space="preserve">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projektos attīstīt tādas uzņēmējdarbības teritorijas, no kurām būtu sagaidāma vislielākā rādītāju atdeve un kurās ir vairāki komersanti, kas plāno sasniegt  rādītājus, ievērojot ierobežoto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skaidrojumu par darba algu fondu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Projekta īstenošanā ievēro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pašvaldību ierosinājumu palielināt attiecību 1  ERAF algas pieauguma uz lielāku ERAF, kas būtu 10 EUR no ERAF  pret 1 EUR algas pieauguma, un tas tiek pamatots ar algas fonda izvirzītām prasībām un faktisko vidējās algas līmeni reģionos.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rezultāta rādītājs “darba algu fonda pieaugums privātajos komersantos 66 555 000 </w:t>
            </w:r>
            <w:r w:rsidR="00000000" w:rsidRPr="00000000" w:rsidDel="00000000">
              <w:rPr>
                <w:i w:val="1"/>
                <w:rtl w:val="0"/>
              </w:rPr>
              <w:t xml:space="preserve">euro</w:t>
            </w:r>
            <w:r w:rsidR="00000000" w:rsidRPr="00000000" w:rsidDel="00000000">
              <w:rPr>
                <w:rtl w:val="0"/>
              </w:rPr>
              <w:t xml:space="preserve">” ir noteikts Eiropas Savienības kohēzijas politikas programmā 2021.–2027. gadam.  Ņemot vērā, ka pasākumam plānotais ERAF finansējums ir 133,11 milj. </w:t>
            </w:r>
            <w:r w:rsidR="00000000" w:rsidRPr="00000000" w:rsidDel="00000000">
              <w:rPr>
                <w:i w:val="1"/>
                <w:rtl w:val="0"/>
              </w:rPr>
              <w:t xml:space="preserve">euro</w:t>
            </w:r>
            <w:r w:rsidR="00000000" w:rsidRPr="00000000" w:rsidDel="00000000">
              <w:rPr>
                <w:rtl w:val="0"/>
              </w:rPr>
              <w:t xml:space="preserve">, projektos nepieciešams paredzēt, ka piešķirtā finansējuma ietvaros vidēji 1 </w:t>
            </w:r>
            <w:r w:rsidR="00000000" w:rsidRPr="00000000" w:rsidDel="00000000">
              <w:rPr>
                <w:i w:val="1"/>
                <w:rtl w:val="0"/>
              </w:rPr>
              <w:t xml:space="preserve">euro</w:t>
            </w:r>
            <w:r w:rsidR="00000000" w:rsidRPr="00000000" w:rsidDel="00000000">
              <w:rPr>
                <w:rtl w:val="0"/>
              </w:rPr>
              <w:t xml:space="preserve"> darba algu fonda pieaugumā  privātajos komersantos, kas ir labuma guvēji no pašvaldības izbūvētās vai atjaunotās komercdarbības infrastruktūras, tiks ieguldīti ne vairāk kā 2 </w:t>
            </w:r>
            <w:r w:rsidR="00000000" w:rsidRPr="00000000" w:rsidDel="00000000">
              <w:rPr>
                <w:i w:val="1"/>
                <w:rtl w:val="0"/>
              </w:rPr>
              <w:t xml:space="preserve">euro</w:t>
            </w:r>
            <w:r w:rsidR="00000000" w:rsidRPr="00000000" w:rsidDel="00000000">
              <w:rPr>
                <w:rtl w:val="0"/>
              </w:rPr>
              <w:t xml:space="preserve"> ERAF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projektos attīstīt tādas uzņēmējdarbības teritorijas, no kurām būtu sagaidāma vislielākā rādītāju atdeve, un kurās ir vairāki komersanti, kas plāno sasniegt  rādītājus, ievērojot ierobežoto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13.1. un 14.1.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plānoto kārtību (ietverot termiņus) un projektu atlases kritērijiem, saskaņā ar kuriem plānošanas reģioni noteiks projektu iesniedzējus, kas kvalificēsies atbalsta saņemšanai ierobežotas projektu iesniegumu atlases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informāciju pēc kādiem kritērijiem un nosacījumiem plānošanas reģioni vērtēs iesniegtos pašvaldības projektu, lai plānošanas reģions varētu pieņemt pozitīvu lēmumu par pirmās atlases kārtas atbalstāmajiem projektiem un virzītu to tālāk VARAM atbalsta saņemšanai atbilstoši MK noteikumu 18.punktam.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pirmās atlases kārtas ietvaros paredzēts atbalstīt reģionālas nozīmes projektus atbilstoši plānošanas reģionu attīstības programmām (kopējā pašvaldību vienošanās), projektu sarakstu reģioniem iekļaujot plānošanas reģionu attīstītas programmas pielikumā. Par reģionālas nozīmes projektiem būs jāsaņem pozitīvs  Vides aizsardzības un reģionālās attīstības ministrijas atzinums par projekta idejas atbilstību noteikumu nosacījumiem un būtiskākajiem (satura)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sagatavos vadlīnijas reģionālas nozīmes projektu noteikšanai un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kārtībai (ietverot termiņus) un atlases kritērijiem, pēc kuriem tiks organizēta projektu atlase un to iekļaušana plānošanas reģiona attīstības programmā, kā arī projektu iesniedzēji, kas pirmās atlases kārtas ietvaros pretendēs uz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pirmās atlases kārtas ietvaros paredzēts atbalstīt reģionālas nozīmes projektus atbilstoši plānošanas reģionu attīstības programmām (kopējā pašvaldību vienošanās), projektu sarakstu reģioniem iekļaujot plānošanas reģionu attīstītas programmas pielikumā. Par reģionālas nozīmes projektiem būs jāsaņem pozitīvs  Vides aizsardzības un reģionālās attīstības ministrijas atzinums par projekta idejas atbilstību noteikumu nosacījumiem un būtiskākajiem (satura)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sagatavos vadlīnijas reģionālas nozīmes projektu noteikšanai un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Pasākumu īsteno trīs projektu iesniegumu atlases kārtās (turpmāk – atlases kārta):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27 236 133 </w:t>
            </w:r>
            <w:r w:rsidR="00000000" w:rsidRPr="00000000" w:rsidDel="00000000">
              <w:rPr>
                <w:i w:val="1"/>
                <w:rtl w:val="0"/>
              </w:rPr>
              <w:t xml:space="preserve">euro</w:t>
            </w:r>
            <w:r w:rsidR="00000000" w:rsidRPr="00000000" w:rsidDel="00000000">
              <w:rPr>
                <w:rtl w:val="0"/>
              </w:rPr>
              <w:t xml:space="preserve"> un nacionālais finansējums – ne mazāks kā 4 806 377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14.3.apakšpunktu ar informāciju par plānošanas reģioniem pieejamo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3.atlases kārtā paredzēts kopīgs konkurss visu pašvaldību projektiem, līdz ar to plānošanas reģioniem pieejamais finansējums 14.3. apakšpunktā nav noteikts.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trešās atlases kārtas ietvaros plānotais finansējums ir ne mazāks kā 32 042 510 </w:t>
            </w:r>
            <w:r w:rsidR="00000000" w:rsidRPr="00000000" w:rsidDel="00000000">
              <w:rPr>
                <w:i w:val="1"/>
                <w:rtl w:val="0"/>
              </w:rPr>
              <w:t xml:space="preserve">euro</w:t>
            </w:r>
            <w:r w:rsidR="00000000" w:rsidRPr="00000000" w:rsidDel="00000000">
              <w:rPr>
                <w:rtl w:val="0"/>
              </w:rPr>
              <w:t xml:space="preserve">, tai skaitā Eiropas Reģionālās attīstības fonda finansējums – 27 236 133 </w:t>
            </w:r>
            <w:r w:rsidR="00000000" w:rsidRPr="00000000" w:rsidDel="00000000">
              <w:rPr>
                <w:i w:val="1"/>
                <w:rtl w:val="0"/>
              </w:rPr>
              <w:t xml:space="preserve">euro</w:t>
            </w:r>
            <w:r w:rsidR="00000000" w:rsidRPr="00000000" w:rsidDel="00000000">
              <w:rPr>
                <w:rtl w:val="0"/>
              </w:rPr>
              <w:t xml:space="preserve"> un nacionālais līdzfinansējums – ne mazāks kā 4 806 377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 attīstības fonda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informāciju pēc kādiem kritērijiem un nosacījumiem plānošanas reģioni vērtēs iesniegtos pašvaldības projektu, lai plānošanas reģions varētu pieņemt pozitīvu lēmumu par pirmās atlases kārtas atbalstāmajiem projektiem un virzītu to tālāk VARAM atbalsta saņemšanai atbilstoši MK noteikumu 18.punktam.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reģionālas nozīmes projektu noteikšana ir kopējā pašvaldību vienošanās.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plānošanas reģiona attīstītas programmās noteiktie projekti saņemtu pozitīvu VARAM atzinumu, tiks vērtēta projekta idejas atbilstība noteikumu nosacījumiem un būtiskākajiem satura kritērijiem. Projektu iesniegumu vērtēšanas kritēriji ar 02.08.2023 lēmumu Nr. L-2023/21-27/49 tika apstiprināti ES fondu Uzraudzības komitejas rakstiskajā procedūra, dokumenti pieejami: </w:t>
            </w:r>
            <w:r w:rsidR="00000000" w:rsidRPr="00000000" w:rsidDel="00000000">
              <w:rPr>
                <w:i w:val="1"/>
                <w:rtl w:val="0"/>
              </w:rPr>
              <w:t xml:space="preserve">https://www.esfondi.lv/profesionaliem/uzraudzibas-komiteja/uk-e-portfelis-2021-2027/2023-07-18_uk_rakstiska_procedura_-izm_4213_lm_4365_4334_sm_3111_3113_varam_5111_vm_4121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izstrādās vadlīnijas reģionālas nozīmes projektu noteikšanai un atlasei.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Plānošanas reģioni līdz 2024. gada 1. jūnijam pieņem lēmumu par pirmās atlases kārtas ietvaros atbalstāmo plānošanas reģionu attīstības programmās paredzēto projektu sarakstu, ievērojot šo noteikumu </w:t>
            </w:r>
            <w:r w:rsidR="00000000" w:rsidRPr="00000000" w:rsidDel="00000000">
              <w:rPr>
                <w:rtl w:val="0"/>
              </w:rPr>
              <w:t xml:space="preserve">14.1.</w:t>
            </w:r>
            <w:r w:rsidR="00000000" w:rsidRPr="00000000" w:rsidDel="00000000">
              <w:rPr>
                <w:rtl w:val="0"/>
              </w:rPr>
              <w:t xml:space="preserve"> apakšpunktā noteikto Eiropas Reģionālās attīstības fonda finansējumu.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skaidrojumu par SAMP 5.1.1.1. atlašu izsludināšanas kārtību, t.i., par plānoto atlašu izsludināšanas grafiku pirmajai un otrajai atlasei (t.sk. priekšatlase), vai šīs atlases tiks izsludinātas vienlaikus vai secīgi viena aiz otras; kā arī vai Sadarbības iestāde izsludinās atlasi pēc 2024.gada 1.jūnija – datuma līdz kuram plānošanas reģionam ir jāpieņem lēmums par atbalstāmajiem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1. un 2. atlases kārtu ir paredzēts izsludināt vienlaikus. Atbilstoši MK noteikumu projekta nosacījumiem par 1.atlases kārtas atbalstāmajiem projektiem plānošanas reģionam ir jāpieņem lēmums līdz 2024. gada 1. jūnijam (šis ir pēdējais vienošanās datums, bet to var pieņemt ātrāk). Savukārt atlase attiecīgajā plānošanas reģionā notiktu, tiklīdz būs panākta vienošanās ar pirmo no plānošanas reģioniem (tai skaitā saņemts pozitīvs VARAM atzinums), attiecīgi CFLA izsludinās atlasi, nosūtot uzaicinājumu attiecīgā plānošanas reģiona attīstības programmās paredzēto projektu iesniedzējiem iesniegt projektu iesniegumus ierobežotai projektu iesniegumu atlasei. Ja līdz 2024. gada 31. decembrim CFLA netiks iesniegti plānošanas reģionu attīstības programmās paredzētie projekti par visu pirmās atlases kārtas ietvaros pieejamo ERAF finansējumu, finansējuma atlikums tiks novirzīts 2. atlases kārtai attiecīgajam plānošanas reģionam.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anotācijā sniegt skaidrojumu par SAMP 5.1.1.1. atlašu izsludināšanas kārtību, t.i., par plānoto atlašu izsludināšanas grafiku pirmajai un otrajai atlasei (t.sk. priekšatlase), vai šīs atlases tiks izsludinātas vienlaikus vai secīgi viena aiz otras; kā arī vai Sadarbības iestāde izsludinās atlasi pēc 2024.gada 1.jūnija – datuma līdz kuram plānošanas reģionam ir jāpieņem lēmums par atbalstāmajiem projektiem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1. un 2. atlases kārtu ir paredzēts izsludināt vienlaikus. Atbilstoši MK noteikumu projekta nosacījumiem par 1.atlases kārtas atbalstāmajiem projektiem plānošanas reģionam ir jāpieņem lēmums līdz 2024. gada 1. jūnijam (šis ir pēdējais vienošanās datums, bet to var pieņemt ātrāk). Savukārt atlase attiecīgajā plānošanas reģionā notiktu, tiklīdz būs panākta vienošanās ar pirmo no plānošanas reģioniem (tai skaitā saņemts pozitīvs VARAM atzinums), attiecīgi CFLA izsludinās atlasi, nosūtot uzaicinājumu attiecīgā plānošanas reģiona attīstības programmās paredzēto projektu iesniedzējiem iesniegt projektu iesniegumus ierobežotai projektu iesniegumu atlasei. Ja līdz 2024. gada 31. decembrim CFLA netiks iesniegti plānošanas reģionu attīstības programmās paredzētie projekti par visu pirmās atlases kārtas ietvaros pieejamo ERAF finansējumu, finansējuma atlikums tiks novirzīts 2. atlases kārtai attiecīgajam plānošanas reģionam.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MK noteikumu anotācijā, kurā brīdī plānošanas reģionam ir jāsaņem  pozitīvs  Vides aizsardzības un reģionālās attīstības ministrijas atzinums, t.i., pirms projekta iesniegšanas CFLA vai pirms 01.06.2024. jeb pirms plānošanas reģiona lēmuma pieņemšanas, vai kāds cits no VARAM redzējuma variantiem.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plānošanas reģionam ir jāsaņem  pozitīvs  Vides aizsardzības un reģionālās attīstības ministrijas atzinums pirms projekta iesniegšanas CFLA. CFLA izsludinās atlasi  un nosūtīs uzaicinājumu tiem plānošanas reģionu attīstības programmās paredzēto projektu iesniedzējiem, kas būs saņēmuši pozitīvu VARAM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MK noteikumu anotācijā, kurā brīdī plānošanas reģionam ir jāsaņem  pozitīvs  Vides aizsardzības un reģionālās attīstības ministrijas atzinums, t.i., pirms projekta iesniegšanas CFLA vai pirms 01.06.2024. jeb pirms plānošanas reģiona lēmuma pieņemšanas, vai kāds cits no VARAM redzējuma variantiem.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plānošanas reģionam ir jāsaņem  pozitīvs  Vides aizsardzības un reģionālās attīstības ministrijas atzinums pirms projekta iesniegšanas CFLA. CFLA izsludinās atlasi  un nosūtīs uzaicinājumu tiem plānošanas reģionu attīstības programmās paredzēto projektu iesniedzējiem, kas būs saņēmuši pozitīvu VARAM atzinumu.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Vides aizsardzības un reģionālās attīstības ministrija kā par reģionālās attīstības politiku atbildīgā nozares ministrija sniedz sadarbības iestādei informāciju par plānošanas reģionu attīstības programmās iekļautajiem pirmās atlases kārtas projektiem, kas ir saņēmuši pozitīvu  Vides aizsardzības un reģionālās attīstības ministrijas atzinumu.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31. decembrim sadarbības iestādē netiek iesniegti plānošanas reģionu attīstības programmās paredzētie projekti par visu pirmās atlases kārtas ietvaros pieejamo Eiropas Reģionālā attīstības fonda finansējumu, finansējuma atlikumu novirza otrajai atlases kārtai attiecīgajam plānošanas reģionam, kuram pieejamais Eiropas Reģionālā attīstības fonda finansējums pirmajā atlases kārtā netika piesaistīs.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SAMP 5.1.1.1. mērķis un atbalstāmās darbības pārklājas ar Programmas 6.1.1.3. pasākuma „Atbalsts uzņēmējdarbībai nepieciešamās publiskās infrastruktūras attīstībai, veicinot pāreju uz klimatneitrālu ekonomiku” (turpmāk – 6.1.1.3. pasākums) un Atveseļošanas un noturības mehānisma plāna (turpmāk – AF plāns) 3.1.1.3.i. investīcijas “Investīcijas uzņēmējdarbības publiskajā infrastruktūrā industriālo parku un teritoriju attīstīšanai reģionos” (turpmāk – 3.1.1.3.i. investīcija) mērķiem un atbalstāmajām darbībām, tikai 6.1.1.3. pasākuma un 3.1.1.3.i. investīcijas atbalstāmajā teritorijā nav iekļauta Rīgas reģions, aicinām VARAM izvērtēt iespēju, ka SAMP 5.1.1.1. 1.kārtas un 2.kārtas atlikumus, kas radušies  reģionos, kas nav Rīgas reģions, novirzīt Rīgas plānošanas reģiona un tās pašvaldības projektiem. Vēršam uzmanību, ka 6.1.1.3.pasākumā un 3.1.1.3.i investīciju kopumā Latgales, Vidzemes, Zemgales un Kurzemes plānošanas reģionu pašvaldību projektiem tiek novirzītas ES investīcijas vairāk kā 137 milj. euro un netiek izvirzīts tik “stingrs” sasniedzamais radītājs kā darba algu fonda palielinājums, kas dod šo plānošanas periodu pašvaldībām attīstīt stratēģiski nozīmīgākus un finansiāli apjomīgākus infrastruktūras projektus kā 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plānošanas reģionam noteikt minimālo pieejamo ERAF finansējumu ERAF maksimālās likmes apmērā 5 milj. euro, kas noteikts MK noteikumu 23.punktā.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programmas Latvijai 2021. - 2027.gadam   pasākuma 3. atlases kārta ir paredzēts atklāts konkurss, kur visu pašvaldību projekti konkurēs savā starpā, tādejādi nodrošinot vienlīdzīgu sacensību par projekta iesnieguma apstiprināšanu un ES fonda finansējuma piešķiršanu, atbalstot efektīvākos projektus,  vienlaikus veicinot investīciju ātrāku nonākšanu tautsaimniecībā (pasākuma 3. atlases kārtas īstenošanai būs īsāks termiņš, jo elastības finansējuma piešķiršanas gadījumā tas būs pieejams no 2026. gada) un ES fondu apguvi, ņemot vērā, ka tiks apstiprināti augstas gatavības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fondu 2014-2020. gada plānošanas perioda ierobežotas projektu iesniegumu atlases  pieredze rāda, ka daudzām pašvaldībām bija grūtības apgūt ierobežotas projektu iesniegumu atlases ietvaros pieejamo finansējumu, kā rezultātā  veidojās ievērojami finansējuma  atlikumi, līdz ar to ES fondu 2021.-2027. gada plānošanas perioda pieeja balstās uz atklātu projektu iesniegumu atlasi, lai konkursa kārtībā atbalstītu efektīvākos projektus, kas tiktu īstenoti pēc iespējas ātrākā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pasākuma ietvaros visiem projektu iesniedzējiem ir noteiktas vienādas minimālās prasības attiecībā par rādītāju (darba algu fonda pieaugums, nefinanšu investīciju piesaiste)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2019. gada 26. novembra rīkojumam Nr. 587  “Reģionālās politikas pamatnostādnēm 2021.-2027. gadam”, ERAF finansējums starp reģioniem 5.1.1. pasākuma  ietvaros pirmajā un otrajā projektu iesniegumu atlases kārtā tiek noteikts pēc IKP uz vienu iedzīvotāju apgrieztās proporcijas, lielāku finansējumu paredzot reģioniem ar zemākiem sociāli ekonomiskās attīstības rādītājiem, līdz ar to aicinājums plānošanas reģionam noteikt minimālo pieejamo ERAF finansējumu 5 milj. euro apmērā neveicinās RPP mērķi radīt priekšnosacījumus visu reģionu ekonomiskā potenciāla attīstībai un sociālekonomisko atšķirību mazināšanai reģionos.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pašvaldības kapitālsabiedrība, kas veic pašvaldības deleģēto pārvaldes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skaidrot, ja projekta iesniedzējs ir pašvaldības kapitālsabiedrība, vai šajā gadījumā tā pati tiek uzskatīta par komersantu un var garantēt rādītāju sasniegšanu, vai arī šajā gadījumā nepieciešama sadarbības partnera iesaiste, t.i., cita kapitālsabiedrība, juridiska persona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mērķis ir attīstīt uzņēmējdarbības publisko infrastruktūru un palielināt privāto investīciju apjomu pilsētu funkcionālajās teritorijās, attiecīgi pašvaldības kapitālsabiedrība pasākuma ietvaros nevar sniegt ieguldījumus projektu rādītāju izpildē. Projektu rādītāju izpildē ieskaita tos rādītājus, ko nodrošina privātā sektora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pašvaldības kapitālsabiedrība, kas veic pašvaldības deleģētos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 pašvaldības kapitālsabiedrība, kas veic pašvaldības deleģēto pārvaldes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skaidrot, ja projekta iesniedzējs ir pašvaldības kapitālsabiedrība, vai šajā gadījumā tā pati tiek uzskatīta par komersantu un var garantēt rādītāju sasniegšanu, vai arī šajā gadījumā nepieciešama sadarbības partnera iesaiste, t.i., cita kapitālsabiedrība, juridiska persona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mērķis ir attīstīt uzņēmējdarbības publisko infrastruktūru un palielināt privāto investīciju apjomu pilsētu funkcionālajās teritorijās, attiecīgi pašvaldības kapitālsabiedrība pasākuma ietvaros nevar sniegt ieguldījumus projektu rādītāju izpildē. Projektu rādītāju izpildē ieskaita tos rādītājus, ko nodrošina privātā sektora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pašvaldības kapitālsabiedrība, kas veic pašvaldības deleģētos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uzņēmējdarbības veicināšanas aktivitātes pašvaldībā var tikt deleģētas nevalstisko organizāciju sektoram saskaņā Vides aizsardzības un reģionālās attīstības ministrijas izstrādātajām vadlīnijām “Pārvaldes uzdevumu deleģēšana pašvaldībās” (turpmāk – Vadlīnijas). Vadlīnijās norādīts: “Pašvaldība ir tiesīga deleģēt pārvaldes uzdevuma izpildi kādai citai publiskai personai, piemēram, citai pašvaldībai, kas ir bieži sastopama pašvaldību prakse, tā arī privātpersonai, ar to saprotot privāto tiesību subjektus, piemēram, kapitālsabiedrības (tajā skaitā pašvaldību kapitālsabiedrības), biedrības,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nevalstiskās organizācijas (biedrības, nodibinājumi) var palīdzēt sasniegt 5.1.1.1. pasākuma „Infrastruktūra uzņēmējdarbības atbalstam” mērķi – palielināt privāto investīciju apjomu pilsētu funkcionālajās teritorijās – pie nosacījuma, ja to darbības mērķis ir saistīts ar uzņēmējdarbības attīstības veicināšanu. Nevalstisko organizāciju, kurām deleģēti pašvaldības uzdevumi, darbību mērķi nav pretrunā ar pašvaldības doto uzdevumu un uzņēmējdarbības veicināšanu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pašvaldībās komercdarbības veicināšanā un attīstībā nozīmīgu ieguldījumu sniedz biedrības un nodibinājumi, kas dibināti ar mērķi veicināt uzņēmējdarbību pašvaldībās, rosinām: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26.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nevalstiskās organizācijas (biedrības un nodibinājumi), kuras ir izveidotas ar mērķi veicināt uzņēmējdarbību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projekta 26.5.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pašvaldības kapitālsabiedrību vai cita privāto tiesību juridiskā persona, kas  veic pašvaldības deleģēto pārvaldes uzdevumu izpildi vai ir noslēgusi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projekta ietvaros īsteno projekta darbības, t.sk. iesaistās projekta izstrādē, būvdarbu projektēšanas, veikšanas procesā, nodrošina nacionālo līdzfinansējumu. Līdzšinējā pieredze uzņēmējdarbības publiskās infrastruktūras  projektos liecina, ka pašvaldības, pašvaldību iestādes, kapitālsabiedrības pilda šos uzdevumus. Līdz ar to, biedrību un nodibinājumu iesaiste kā projektu sadarbības partneriem, kas īstenos projekta darbības,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mērķa grupa ir pašvaldības, iedzīvotāji un komersanti, kuru mērķis ir sekmēt savu saimniecisko darbību, attīstot esošās vai radot jaunas darbavietas un piesaistot nefinanšu investīcijas. Noteikumu projekta ietvaros biedrības un nodibinājumi nav noteikti kā mērķa grupa vai sadarbības partneri, ņemot vērā 5.1.1.1. pasākuma mērķi attīstīt uzņēmējdarbības publisko infrastruktūru un palielināt privāto investīciju apjomu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biedrību un nodibinājumu radītos rādītājus par darba algu fondu un nefinanšu investīcijām projektā ieskaitīt nevarēs, jo atbilstoši Biedrību un nodibinājumu likumam tām nav peļņas gūšanas rakstura. Projektu rādītāju devēji ir komersanti, kuru darbības mērķis ir gūt peļņu, kā arī tie var radīt augstākas pievienotās vērtības produktus, labāk apmaksātas darbavietas, veicināt sava produkta vai pakalpojuma eksportspēju. Biedrību un nodibinājumu darbības veids un raksturs neatbilst 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slēdzot rakstisku sadarbības līgumu, var iesaistīt šādus sadarbības partnerus, ja to iesaiste ir pamatota un nepieciešama projekta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uzņēmējdarbības veicināšanas aktivitātes pašvaldībā var tikt deleģētas nevalstisko organizāciju sektoram saskaņā Vides aizsardzības un reģionālās attīstības ministrijas izstrādātajām vadlīnijām “Pārvaldes uzdevumu deleģēšana pašvaldībās” (turpmāk – Vadlīnijas). Vadlīnijās norādīts: “Pašvaldība ir tiesīga deleģēt pārvaldes uzdevuma izpildi kādai citai publiskai personai, piemēram, citai pašvaldībai, kas ir bieži sastopama pašvaldību prakse, tā arī privātpersonai, ar to saprotot privāto tiesību subjektus, piemēram, kapitālsabiedrības (tajā skaitā pašvaldību kapitālsabiedrības), biedrības, nodibinājumus.”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nevalstiskās organizācijas (biedrības, nodibinājumi) var palīdzēt sasniegt 5.1.1.1. pasākuma „Infrastruktūra uzņēmējdarbības atbalstam” mērķi – palielināt privāto investīciju apjomu pilsētu funkcionālajās teritorijās – pie nosacījuma, ja to darbības mērķis ir saistīts ar uzņēmējdarbības attīstības veicināšanu. Nevalstisko organizāciju, kurām deleģēti pašvaldības uzdevumi, darbību mērķi nav pretrunā ar pašvaldības doto uzdevumu un uzņēmējdarbības veicināšanu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pašvaldībās komercdarbības veicināšanā un attīstībā nozīmīgu ieguldījumu sniedz biedrības un nodibinājumi, kas dibināti ar mērķi veicināt uzņēmējdarbību pašvaldībās, rosinām: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 projekta 26.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Projekta iesniedzējs, slēdzot rakstisku sadarbības līgumu, var piesaistīt šādus sadarbības partnerus, ja to iesaiste ir pamatota un nepieciešama projekta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 nevalstiskās organizācijas (biedrības un nodibinājumi), kuras ir izveidotas ar mērķi veicināt uzņēmējdarbību pašvaldībā.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projekta 26.5.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 pašvaldības kapitālsabiedrību vai cita privāto tiesību juridiskā persona, kas  veic pašvaldības deleģēto pārvaldes uzdevumu izpildi vai ir noslēgusi pakalpojumu līgumu par sabiedrisko pakalpojumu 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projekta ietvaros īsteno projekta darbības, t.sk. iesaistās projekta izstrādē, būvdarbu projektēšanas, veikšanas procesā, nodrošina nacionālo līdzfinansējumu. Līdzšinējā pieredze uzņēmējdarbības publiskās infrastruktūras  projektos liecina, ka pašvaldības, pašvaldību iestādes, kapitālsabiedrības pilda šos uzdevumus. Līdz ar to, biedrību un nodibinājumu iesaiste kā projektu sadarbības partneriem, kas īstenos projekta darbības,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mērķa grupa ir pašvaldības, iedzīvotāji un komersanti, kuru mērķis ir sekmēt savu saimniecisko darbību, attīstot esošās vai radot jaunas darbavietas un piesaistot nefinanšu investīcijas. Noteikumu projekta ietvaros biedrības un nodibinājumi nav noteikti kā mērķa grupa vai sadarbības partneri, ņemot vērā 5.1.1.1. pasākuma mērķi attīstīt uzņēmējdarbības publisko infrastruktūru un palielināt privāto investīciju apjomu pilsētu funkcionālajās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biedrību un nodibinājumu radītos rādītājus par darba algu fondu un nefinanšu investīcijām projektā ieskaitīt nevarēs, jo atbilstoši Biedrību un nodibinājumu likumam tām nav peļņas gūšanas rakstura. Projektu rādītāju devēji ir komersanti, kuru darbības mērķis ir gūt peļņu, kā arī tie var radīt augstākas pievienotās vērtības produktus, labāk apmaksātas darbavietas, veicināt sava produkta vai pakalpojuma eksportspēju. Biedrību un nodibinājumu darbības veids un raksturs neatbilst minētajām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slēdzot rakstisku sadarbības līgumu, var iesaistīt šādus sadarbības partnerus, ja to iesaiste ir pamatota un nepieciešama projekta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Atbalstu speciālās ekonomiskās zonas pārvaldei sniedz tikai darbībām ārpus teritorijas, kurā tiek veikta ostas pamatdarbība, un kas nav saistītas ar investīcijām ostas pamatdarbības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noteikumu projekta ietvaros atbalstāmās speciālās ekonomiskās zonas (turpmāk - SEZ) ir tikai ostas? Norādām, ka Latvijā pasatāv Rēzeknes SEZ un Latgales SEZ, kuras nav ostas un tajās netiek veikta ostas pamatdarbība. Attiecīgi lūdzam izvērtēt nepieciešamību un lietderību precizēt noteikumu projekta 27. punktu, iekļaujot visas Latvijā pastāvošās SEZ.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ietvaros kā projekta iesniedzējs vai sadarbības partneris var būt jebkura no speciālās ekonomiskās zonas pārvaldēm, t.i., Latgales SEZ, Liepājas SEZ un Rēzeknes SEZ.  Savukārt izņēmums attiecībā uz ieguldījumiem tikai darbībām ārpus teritorijas, kurā tiek veikta ostas pamatdarbība, izriet no regulas Nr. 651/2014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pasākums nav atbalsta programma ostām un ostu pamatdarbībai, tādejādi, lai izslēgtu risku par 5.1.1.1.pasākuma investīciju ieguldījumiem ostu pamatdarbībā, MK noteikumu projektā ir noteikts vispārīgs punkts, kas paredz, ka atbalstu speciālās ekonomiskās zonas pārvaldei sniedz tikai darbībām ārpus teritorijas, kurā tiek veikta ostas pamatdarbība, un kas nav saistītas ar investīcijām ostas pamatdarbības infrastruktūrā.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Atbalstu speciālās ekonomiskās zonas pārvaldei sniedz tikai darbībām ārpus teritorijas, kurā tiek veikta ostas pamatdarbība, un kas nav saistītas ar investīcijām ostas pamatdarbības infrastruktūrā.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projekta iesniegumā pamato pieprasījumu pēc publiskās infrastruktūras, kuru paredzēts attīstīt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pamatojums, t. sk. dokumenti nepieciešami, lai pamatotu pieprasījumu publiskās infrastruktūras izbūvei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iesniegumā projekta iesniedzējs sniedz argumentētu pamatojumu par projekta ietvaros plānotās infrastruktūras nepieciešamību komersantiem un komersantu pieprasījumu pēc attīstāmās infrastruktūras, proti, ir norādīta informācija, piemēram, par aptaujām, apspriedēm, lēmumiem, u.c. darbībām, kas liecina, ka projektā attīstāmā infrastruktūra ir balstīta komersantu pieprasījumā un nepieciešama komersanta esošās vai jaunas saimnieciskās darbības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projekta iesniegumā pamato pieprasījumu pēc publiskās infrastruktūras, kuru paredzēts attīstīt projekta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Projekta iesniedzējs projekta iesniegumā pamato pieprasījumu pēc publiskās infrastruktūras, kuru paredzēts attīstīt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kāds pamatojums, t. sk. dokumenti nepieciešami, lai pamatotu pieprasījumu publiskās infrastruktūras izbūvei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projekta iesniegumā projekta iesniedzējs sniedz argumentētu pamatojumu par projekta ietvaros plānotās infrastruktūras nepieciešamību komersantiem un komersantu pieprasījumu pēc attīstāmās infrastruktūras, proti, ir norādīta informācija, piemēram, par aptaujām, apspriedēm, lēmumiem, u.c. darbībām, kas liecina, ka projektā attīstāmā infrastruktūra ir balstīta komersantu pieprasījumā un nepieciešama komersanta esošās vai jaunas saimnieciskās darbības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projekta iesniegumā pamato pieprasījumu pēc publiskās infrastruktūras, kuru paredzēts attīstīt projekta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par 5.1.1. specifisko atbalsta mērķi “Vietējās teritorijas integrētās sociālās, ekonomiskās un vides attīstības un kultūras mantojuma, tūrisma un drošības veicināšana pilsētu funkcionālajās teritorijās” nav noteikts ierobežojums, ka pašvaldības infrastruktūras attīstība uzņēmējdarbības veicināšanai neietver nepieciešamo aprīkojumu. Līdz ar to vēršam uzmanību, ka infrastruktūra uzņēmējdarbības atbalstam var būt arī biznesa inkubatori, koprades centri, koplietošanas laboratorijas, testēšanas centri un digitālās inovācijas centri,  ieskaitot ar to darbību saistīto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atbalsts tiek plānots arī koplietošanas iekārtu iegādei ar mērķi ļaut jauniem uzņēmējiem veidot produktu prototipus, rezultātā veicinot uzņēmējdarbību un attīstot komercdarbību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33. punktu ar diviem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investoru piesaistes nodrošināšana, t. sk. mārketinga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iekārtu un aprīkojuma, kuras nepieciešamas uzņēmējdarbības atbalstam,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ietvaros nav paredzēts atbalsts investoru piesaistei, mārketinga izmaksām vai  ražošanas iekārtām, jo investīcija ir mērķēta tieši uz publiskās infrastruktūras attīstību un komercdarbības veikšanai nepieciešamās vietas izveidi. Atbalsts ražošanas iekārtu iegādei komersantiem ir paredzēts citu ES fondu programmu ietvaros, piemēram, Eiropas Savienības kohēzijas politikas programmas Latvijai 2021. - 2027. gadam 1. politikas mērķa attiecīgo specifisko atbalsta mērķu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programmā 2021.–2027. gadam par 5.1.1. specifisko atbalsta mērķi “Vietējās teritorijas integrētās sociālās, ekonomiskās un vides attīstības un kultūras mantojuma, tūrisma un drošības veicināšana pilsētu funkcionālajās teritorijās” nav noteikts ierobežojums, ka pašvaldības infrastruktūras attīstība uzņēmējdarbības veicināšanai neietver nepieciešamo aprīkojumu. Līdz ar to vēršam uzmanību, ka infrastruktūra uzņēmējdarbības atbalstam var būt arī biznesa inkubatori, koprades centri, koplietošanas laboratorijas, testēšanas centri un digitālās inovācijas centri,  ieskaitot ar to darbību saistīto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atbalsts tiek plānots arī koplietošanas iekārtu iegādei ar mērķi ļaut jauniem uzņēmējiem veidot produktu prototipus, rezultātā veicinot uzņēmējdarbību un attīstot komercdarbību privātajā sektorā.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projekta 33. punktu ar diviem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“33.8.  investoru piesaistes nodrošināšana, t. sk. mārketinga aktivitātes;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33.9. iekārtu un aprīkojuma, kuras nepieciešamas uzņēmējdarbības atbalstam,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ietvaros nav paredzēts atbalsts investoru piesaistei, mārketinga izmaksām vai  ražošanas iekārtām, jo investīcija ir mērķēta tieši uz publiskās infrastruktūras attīstību un komercdarbības veikšanai nepieciešamās vietas izveidi. Atbalsts ražošanas iekārtu iegādei komersantiem ir paredzēts citu ES fondu programmu ietvaros, piemēram, Eiropas Savienības kohēzijas politikas programmas Latvijai 2021. - 2027. gadam 1. politikas mērķa attiecīgo specifisko atbalsta mērķu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Pasākuma ietvaros ir atbalstāmas šādas uz uzņēmējdarbības infrastruktūras attīstību vērstas darbības, kas sekmē jaunu komersantu izvietošanu vai esošo komersantu paplašināšanos projektu iesniedzēju noteiktajās uzņēmējdarbības teritorijās, veicinot nodarbinātību un ekonomisko aktivitāti pašvaldībās: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35.punktā ir paredzēta iespēja piemērot netiešās izmaksas, kā arī to, ka aktivitātes ietvaros var tikt īstenoti ar komercdarbības atbalstu saistīti projekti, kuriem atbalsts tiek sniegts saskaņā ar Komisijas regulu Nr.651/2014, lūdzam papildināt MK noteikumu projekta 35.punktu ar nosacījumu, ka, piešķirot komercdarbības atbalstu projektam saskaņā ar Komisijas regulu Nr.651/2014, attiecināmās izmaksas atbilst konkrētajā Komisijas regulas Nr.651/2014 pantā, saskaņā ar kuru tiek piešķirts atbalsts,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MK noteikumu projekts neparedz piemērot netiešās attiecināmās izmaksas (finansējuma saņēmēja projekta vadības personāla izmaksas, kas var būt, piemēram, telpu noma, kancelejas preces u.tml.) darbībām, kurām piemērojami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izmaksās, kurām piemērojami komercdarbības atbalsta nosacījumi, var iekļaut projekta vadības personāla atlīdzības izmaksas (t.i., atalgojums), kas radušās uz uzņēmuma (pakalpojuma) līguma pamata, ja šīs izmaksas var iegrāmatot pamatlīdzekļu vērtībā.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Redakcionāli ir precizēts netiešo izmaksu punkts, norādot, ka netiešās izmaksas var piemērot pret tām projekta vadības personāla atlīdzības izmaksām, kas radušās uz darba līgumu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35.9.</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viens projekts var saturēt gan neatbalsta daļu, gan vairākas daļas, kurām atbalstu sniedz piemērojot komercdarbības atbalsta regulējumu, lūdzam anotācijā skaidrot, kā tiks nodrošināta projekta netiešo izmaksu atbilstība komercdarbības atbalsta regulējumam, ja plānots piemērot vienu izmaksu pozīciju.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Skaidrojam, ka saskaņā ar MK noteikumu projektā noteikto, projekta netiešās attiecināmās izmaksas ir finansējuma saņēmēja projekta vadības personāla izmaksas, kuras plāno kā vienu izmaksu pozīciju, attiecīgi tās tiks izmaksātas finansējuma saņēmējam 15% apmērā. Finansējuma saņēmējs 5.1.1.1. pasākuma ietvaros  ir pašvaldība, tās izveidota iestāde, speciālās ekonomiskās zonas pārvalde, pašvaldības kapitālsabiedrība, kas veic pašvaldības deleģēto pārvaldes uzdevumu izpildi, vai publiski privātā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35.9.</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VI vadlīniju Nr. 1.1. "Vadlīnijas par vienkāršoto izmaksu izmantošanas iespējām un to piemērošana Eiropas Savienības kohēzijas politikas programmas 2021.–2027.gadam ietvaros" 79.punktā noteikto, ka SAM pasākumos, kuros ir plānots komercdarbības atbalsts, ne tikai par tiešajām attiecināmajām izmaksām, bet arī par netiešajām attiecināmajām izmaksām, finansējuma saņēmējam ir jāveic izmaksu uzskaite atbilstoši faktisko izmaksu uzskaites metodei un, tā kā šajā pasākumā komercdarbības atbalstu piešķir saskaņā ar Regulu Nr.651/2014, lūdzam izvērtēt, vai netiešo izmaksu vienotās likmes piemērošana nodrošinās procesu vienkāršošanu un administratīvā sloga samazināšanu, kā arī to, vai pilnvarojuma uzlicējs nodrošinās pārkompensācijas novēršanu. Ja nodrošinās, lūdzam identificēt, kādas izmaksu pozīcijas attiecināmas no netiešajām izmaksām, kā arī aicinām izvērtēt iespēju piemērot vienkāršotās izmaksas personāla atlīdzības izmaksu segšanai.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 Skaidrojam, ka netiešo izmaksu vienotā likme 15 procentu apmērā noteikta, lai kopumā mazinātu administratīvo slogu. Vēršam uzmanību, ka 5.1.1.1. pasākuma ietvaros var būt arī neatbalsta projekti. Projektu īstenošanas uzraudzībā, tai skaitā komercdarbības atbalsta piešķiršanas gadījumos, tiks ievērots atbilstošais normatīvais regulējums un horizontālās vadlīnijas, tai skaitā VI vadlīnijas Nr. 1.1. "Vadlīnijas par vienkāršoto izmaksu izmantošanas iespējām un to piemērošana Eiropas Savienības kohēzijas politikas programmas 2021.–2027.gadam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punktā minēto, lūdzam papildināt Noteikumu projekta 35. punktu ar jauniem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investoru piesaistes un mārketinga izmaksas, nepārsniedzot 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iekārtu un aprīkojuma, kuras nepieciešamas uzņēmējdarbības atbalstam,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siltuma sezonālās uzkrāšanas baseini, kas uzkrāj siltuma enerģijas atlikumus no zaļās industrijas ražotnēm, ir būves, nevis sistēmas. Rosinām terminu “inženiertehniskā sistēma” aizstāt ar terminu “inženiertehniskās būves un sistēmas”, Noteikuma projekta 33.5.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24.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siltuma sezonālās uzkrāšanas baseiniem, kas uzkrāj siltuma enerģijas atlikumus no zaļās industrijas ražotnēm, atbalstām ierosinājumu noteikumu projektā izmaksas atjaunojamo energoresursu tehnoloģiju izmaksu punktu papildināt ar terminu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šādu būvju izmaksas varētu būt salīdzinoši apjomīgas. Norādām, ka pasākuma ietvaros ir atbalstāmi tikai tādi risinājumi, lai  saražoto enerģiju izmantotu pašpatēriņam, t.i., projekta ietvaros ierīkotajai infrastruktūrai. Atjaunojamo energoresursu tehnoloģiju un būvju izmaksas nevar pārsniegt 30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tiešās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3. punktā minēto, lūdzam papildināt Noteikumu projekta 35. punktu ar jauniem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“35.11.  investoru piesaistes un mārketinga izmaksas, nepārsniedzot 5%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35.12. iekārtu un aprīkojuma, kuras nepieciešamas uzņēmējdarbības atbalstam,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siltuma sezonālās uzkrāšanas baseini, kas uzkrāj siltuma enerģijas atlikumus no zaļās industrijas ražotnēm, ir būves, nevis sistēmas. Rosinām terminu “inženiertehniskā sistēma” aizstāt ar terminu “inženiertehniskās būves un sistēmas”, Noteikuma projekta 33.5. apakšpunktu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24.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siltuma sezonālās uzkrāšanas baseiniem, kas uzkrāj siltuma enerģijas atlikumus no zaļās industrijas ražotnēm, atbalstām ierosinājumu noteikumu projektā izmaksas atjaunojamo energoresursu tehnoloģiju izmaksu punktu papildināt ar terminu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šādu būvju izmaksas varētu būt salīdzinoši apjomīgas. Norādām, ka pasākuma ietvaros ir atbalstāmi tikai tādi risinājumi, lai  saražoto enerģiju izmantotu pašpatēriņam, t.i., projekta ietvaros ierīkotajai infrastruktūrai. Atjaunojamo energoresursu tehnoloģiju un būvju izmaksas nevar pārsniegt 30 procentus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Projekta tiešās attiecināmās izmaksas, kas sekmē šo noteikumu </w:t>
            </w:r>
            <w:r w:rsidR="00000000" w:rsidRPr="00000000" w:rsidDel="00000000">
              <w:rPr>
                <w:rtl w:val="0"/>
              </w:rPr>
              <w:t xml:space="preserve">6.</w:t>
            </w:r>
            <w:r w:rsidR="00000000" w:rsidRPr="00000000" w:rsidDel="00000000">
              <w:rPr>
                <w:rtl w:val="0"/>
              </w:rPr>
              <w:t xml:space="preserve"> punktā minētā mērķa un šo noteikumu </w:t>
            </w:r>
            <w:r w:rsidR="00000000" w:rsidRPr="00000000" w:rsidDel="00000000">
              <w:rPr>
                <w:rtl w:val="0"/>
              </w:rPr>
              <w:t xml:space="preserve">9.</w:t>
            </w:r>
            <w:r w:rsidR="00000000" w:rsidRPr="00000000" w:rsidDel="00000000">
              <w:rPr>
                <w:rtl w:val="0"/>
              </w:rPr>
              <w:t xml:space="preserve"> punktā minēto rādītāju sasniegšanu, ietver šādas izmaksu pozīcijas: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MK noteikumu anotācijā sniegt skaidrojumu un piemērus atbalstāmajai darbībai “mazās arhitekta formas ar māksliniecisko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netiek atbalstītas vizuālās mākslas vai dizaina objektu iegādes vai uzstādīšanas izmaksas kā objekti ar māksliniecisko vērtību (autordarbi), bet atbalstītas kā atsevišķi labiekārtojuma elementi.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36.1.4. 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vai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MK noteikumu anotācijā sniegt skaidrojumu un piemērus atbalstāmajai darbībai “mazās arhitekta formas ar māksliniecisko vērtību”.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netiek atbalstītas vizuālās mākslas un dizaina objektu iegādes vai uzstādīšanas izmaksas kā objekti ar māksliniecisko vērtību (autordarbi), bet atbalstītas kā atsevišķi labiekārtojuma elementi.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36.1.4. 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vai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bezemisiju transportlīdzekļu, kas darbināmi ar elektroenerģiju, uzlādes infrastruktūras izbūve uzņēmējdarbības teritorijā ar izejas jaudu vismaz 150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31.punktā, un lūdzam MK noteikumu projektu papildināt ar konkrētajai attiecināmo izmaksu kategorijai piemērojamajiem komercdarbības atbalsta nosacījumiem - Komisijas regulas Nr.651/2014 36.a 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Komisijas regulas Nr.651/2014 13.panta 1.punkta b) apakšpunktam, reģionālo atbalstu nepiemēro atbalstam transporta nozarē, kā arī saistītajai infrastruktūrai; atbalstam enerģijas ražošanai, akumulēšanai, pārvadei, sadalei un infrastruktūrai, izņemot reģionālo ieguldījumu atbalstu tālākajos reģionos un reģionālā darbības atbalsta shēmas. Ievērojot minēto, lūdzam vai nu piemērot un MK noteikumu projektā iekļaut Komisijas regulas Nr.651/2014 36.a panta nosacījumus, vai arī attiecīgo attiecināmo izmaksu kategoriju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apakšsadaļu “Bezemisiju transportlīdzekļu, kas darbināmi ar elektroenerģiju, uzlādes infrastruktūra”.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ar elektroenerģiju darbināmu bezemisiju transportlīdzekļu uzlādes infrastruktūras izbūve uzņēmējdarbības teritorijā ar izejas jaudu vismaz 150 kW;</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35.1.7. bezemisiju transportlīdzekļu, kas darbināmi ar elektroenerģiju, uzlādes infrastruktūras izbūve uzņēmējdarbības teritorijā ar izejas jaudu vismaz 150 kW;</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Pasākumā paredzēts atbalsts uzlādes infrastruktūras izbūvei uzņēmējdarbības teritorijā, taču nav skaidrs, vai tā būs publiski pieejama, vai arī tikai konkrēta komersanta vajadzībām. Attiecīgi lūdzam papildināt šo noteikumu projekta punktu, tā lai skaidrs, kādiem mērķiem plānota konkrētā infrastruktūra. Gadījumā, ja plānots atbalsts publiski pieejamai bezemisiju un mazemisiju autotransporta līdzekļu uzlādes infrastruktūrai, lūdzam noteikumu projektu papildināt ar attiecīgajiem komercdarbības atbalsta nosacījumiem, piemēram, regulas Nr. 651/2014 36.a panta nosacījumiem. Vienlaikus ar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regulas Nr.651/2014 36.a panta atbalstam nebūs tieša pozitīva ietekme 5.1.1.1. pasākuma rādītāju sasniegšanu, attiecīgi šo finansējumu primāri nepieciešams novirzīt uzņēmējdarbības publiskās infrastruktūras attīstībai, kas  nodrošina pasākumā paredzēto rādītāju sasniegšanu. Līdz ar to uzlādes infrastruktūras izbūve uzņēmējdarbības teritorijā ir attiecināma, ievērojot regulas Nr.651/2014 14. panta nosacījumus (skat. sasaisti MK noteikumu projekta 50.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36.1.7. ar elektroenerģiju darbināmu bezemisiju transportlīdzekļu uzlādes infrastruktūras izbūve uzņēmējdarbības teritorijā ar izejas jaudu vismaz 150 kW;</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par saražotās enerģijas izmantošanu projekta ietvaros attīstītajā vai labiekārtotajā teritorijā). Šajā apakšpunktā minētās izmaksas nepārsniedz 30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saražotās enerģijas pašpatēriņš vismaz 80% no saražotā apjoma ir piekšnosacījums, lai atbalsts iekārtām, kas ražo enerģiju no AER, nekvalificētos kā komercdarbības atbalsts, lūdzam šo punktu precizēt, nosakot, ka jāievēro nosacījums, ka saražoto enerģiju 100 procentu apmērā izmanto projekta ietvaros ierīkotajai infrastruktūras darbības nodrošināšanai, pēc analoģijas kā ir minēts noteikumu projekta 36.2.3.apakšpunktā.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tādu būvju būvniecība vai inženiertehnisko sistēmu un iekārtu iegāde un uzstādīšana, kas uzkrāj vai ražo enerģiju no atjaunojamiem energoresursiem (ievērojot nosacījumu par saražotās enerģijas izmantošanu projekta ietvaros attīstītajā vai labiekārtotajā teritorijā). Šajā apakšpunktā minētās izmaksas nepārsniedz 30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32.punktā un atkārtoti lūdzam papildināt MK noteikumu projekta 36.1.8. punktu, tā lai skaidrs, kādiem mērķiem plānota konkrētā infrastruktūra. Skaidrojam, ka atkarībā no tā, kādām vajadzībām atbalsts iekārtu, kas ražo enerģiju no atjaunojamiem energoresursiem, iegādei tiek sniegts, ir jāievēro attiecīgie komercdarbības atbalsta vai tā izslēdzošie nosacījumi. Proti, ja atbalsts tiek piešķirts infrastruktūras izveidei, kas kvalificējas kā nesaimnieciska (publiski pieejama infrastruktūra bez ierobežojumiem), tad, ja atbalsts tiek sniegts arī AER izmantojošu iekārtu iegādei, noteikumos jāiekļauj nosacījums, ka vismaz 80% no saražotās enerģijas ir jāizmanto pašpatēriņam. Vienlaikus jāpapildina arī attiecīgie uzraudzības nosacījumi iekārtas amortizācijas laikā, un skaidrojums anotācijā. Savukārt, ja atbalsts tiek piešķirts VTNP sniedzēju vajadzībām - infrastruktūras izveidei, piemērojot VTNP lēmumu, tad, ja atbalsts tiek sniegts arī AER izmantojošu iekārtu iegādei, noteikumos jāiekļauj nosacījums, ka 100% no saražotās enerģijas ir jāizmanto pašpatēriņam. Vienlaikus aicinām papildināt ar skaidrojumu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izziņā sniegto VARAM viedokli, ka enerģijas patēriņa uzraudzības nosacījumi tiks noteikti līgumā, vēršam uzmanību, ka visiem nosacījumiem, kā tiks uzraudzīts enerģijas patēriņš, ir jābūt ietvertiem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Tiek paredzēti šādi nosacījumi attiecībā uz AER: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AER ielu infrastruktūrai (piemēram, ielu apgaismojumam) – MK noteikumu projektā un anotācijā iekļauts nosacījums, ka saražoto enerģiju 100% apmērā izmanto projekta ietvaros atjaunotajai vai ierīkotajai pievedceļu infrastruktūrai. Publiskās infrastruktūras gadījumā atbalsta likme 85% (ERAF), regulas Nr.651/2014 41.panta atbalsts netiek piemērots;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VTNP - MK noteikumu projektā un anotācijā iekļauts nosacījums, ka saražoto enerģiju 100 procentu apmērā izmanto projekta ietvaros ierīkotajai ūdenssaimniecības un siltumapgādes infrastruktūras darbības nodrošināšanai. Atbalsta likme 85% (ERAF), VTNP atbalsta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projekts papildināts ar nosacījumiem par atbalstu AER regulas Nr.651/2014 14.panta ietvaros. Atbilstoši 25.06.2018 eWiki atbildei izveidots jauns apakšpunkts MK noteikumu projektā. Atbalsta likme komersantam – sadarbības partnerim 50%-70%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iebildumā norādīto par AER iekārtu saražoto enerģijas patēriņa uzraudzību skaidrojam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Konsultējoties ar CFLA, tika secināts, ka papildu uzraudzības nosacījumus specifiski par AER iekārtu patēriņu MK noteikumu projektā nav nepieciešams iekļaut, jo prasības par AER enerģijas izmantošanu “pašpatēriņam” izpildīsies visos tajos gadījumos, kad projekta iesniedzējs/sadarbības partneris nebūs saņēmis licenci par AER enerģijas tirgošanu. Pasākuma ietvaros plānoto projektu iesniedzēju funkcijās neietilpst enerģijas ražošana. Savukārt, projektos, kur atbalsta saņēmējs būs privātais komersants kā sadarbības partneris, MK noteikumu projektā zem nosacījumiem par regulas Nr.651/2014 14.pantu iekļaujam ierobežojumu, ka saražotā atjaunojamā enerģija netiks izmantota ienākumu gūšanai no enerģijas pārdošanas. Papildināta anotācijas 1.3.sadaļas apakšsadaļa “AER infrastruktūra”, iekļaujot prasību, ka, iesniedzot projekta iesniegumu, projekta iesniedzējs un projekta sadarbības partneris apliecina, ka, ja projektā ir plānots atbalsts AER infrastruktūrai, projekta īstenošanas laikā nav plānota ienākumu gūšana no saražotās AER enerģijas pārdošanas.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pašreizējā sistēma Latvijā attiecībā uz juridiskajām personām, kas nav saņēmušas licenci par AER enerģijas tirgošanu, dod iespēju pieslēgties kopējam tīklam un savu saražotās AER enerģijas atlikumu novirzīt kopējā tīklā, bet nekādus ieguvumus juridiskā persona par to nesaņem.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Elektroenerģijas tirgus likuma grozījumi paredz nākotnē ieviest elektroenerģijas neto norēķinu sistēmu. Plānots, ka to varēs izmantot arī juridiskās personas, lai izmantotu savu rēķinu apmaksai, bet tās būtība joprojām saglabājas līdzšinējā, ka par kopējā tīklā nodoto enerģiju netiek sniegta samaksa. Kopējais tīkls darbojas, kā krātuve “akumulators”. Sīkāk lasāms šeit: https://sadalestikls.lv/lv/blog/post/neto-uzskaite-un-neto-norekini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AER infrastruktūras uzraudzības (arī nolietošanas) periodu skaidrojam, ka uzraudzības nosacījumi tiek iekļauti vienošanās par projekta īstenošanu un izriet no ES fondu regulas (Nr.2021/1060) nosacījumiem. Vienlaikus ir izņēmums attiecībā uz pārskata periodu nomas gadījumā, kad tiek piemērots regulas Nr.651/2014 56.pants – par to anotācijā ir norādīta atsauce uz regulu Nr.480/2014.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Uzraudzības periodi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AER tehnoloģijām piemērojam uzraudzības periodu 5 gadi, kas noteikts atbilstoši ES fondu regulas (Nr.2021/1060) 65.pantā noteiktajam periodam par darbību ilglaicību.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AER infrastruktūra tiek plānota ielu infrastruktūras ietvaros (bez komercdarbības atbalsta), gan ielas, gan AER infrastruktūras gadījumā uzraudzība ir 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sabiedrisko pakalpojumu infrastruktūras gadījumā 5 gadi.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plānots atbalsts sadarbības partnerim – privātajam komersantam, uzraudzības periods ir 5 gadi lielā komersanta gadījumā un 3 gadi mazā un vidējā komersanta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projektā plānota nomas infrastruktūra regulas Nr.651/2014 56.panta gadījumā, AER atbalstam piemēro regulas Nr.651/2014 41.panta atbalstu. Šajā gadījumā tiek nodalīti divi dažādi uzraudzības periodi: 56.panta gadījumā ēkas infrastruktūrai kā uzņēmējdarbības infrastruktūrai 10-15 gadi, savukārt AER infrastruktūrai 5 gadi. AER infrastruktūrai nepiemērojam tādu pašu pārskata periodu kā ēkas infrastruktūrai, jo var būt situācijas, ka sākotnēji izvēlētā AER tehnoloģija projektā 10-15 gadu laikā ir novecojis risinājums un no saimnieciskuma viedokļa nebūtu lietderīgi pieprasīt šodienas risinājumu uzturētu 10 gadus. Ja AER ietekme uz ēkas infrastruktūru būs būtiska un AER neesamība ietekmēs ēkas funkciju, tādā gadījumā tas jau būs ēkas tehniskais risinājums, ko paredz jau sākotnējā būvprojektā un šādā gadījumā ir iespējams, ka AER tehnoloģija, lai saglabātu ēkas funkciju, ir jāuztur laika periodā, kas sakrīt ar ēkas uzturēšanas periodu. Bet tie būtu individuāli gadījumi, vērtējami katra konkrēta projekta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35.1.8. tādu inženiertehnisko sistēmu un iekārtu iegāde un uzstādīšana, kas uzkrāj vai ražo enerģiju no atjaunojamiem energoresursiem (ievērojot nosacījumu par saražotās enerģijas izmantošanu projekta ietvaros attīstītajā vai labiekārtotajā teritorijā). Šajā apakšpunktā minētās izmaksas nepārsniedz 30 procentus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nav skaidrs, vai iekārtu, kas ražo enerģiju no atjaunojamiem energoresursiem, iegāde būs atbalstāma publiski pieejamā infrastruktūrā, vai vispārējas nozīmes tautsaimniecības pakalpojumu (VTNP) sniedzēju vajadzībām, vai arī konkrēta komersanta vajadzībām. Līdz ar to lūdzam papildināt šo punktu, tā lai skaidrs, kādiem mērķiem plānota konkrētā infrastruktūra. Skaidrojam, ka atkarībā no tā, kādām vajadzībām atbalsts iekārtu, kas ražo enerģiju no atjaunojamiem energoresursiem, iegādei tiek sniegts, ir jāievēro attiecīgie komercdarbības atbalsta vai tā izslēdzošie nosacījumi. Proti, ja atbalsts tiek piešķirts infrastruktūras izveidei, kas kvalificējas kā nesaimnieciska (publiski pieejama infrastruktūra bez ierobežojumiem), tad, ja atbalsts tiek sniegts arī AER izmantojošu iekārtu iegādei, noteikumos jāiekļauj nosacījums, ka vismaz 80% no saražotās enerģijas ir jāizmanto pašpatēriņam. Vienlaikus jāpapildina arī attiecīgie uzraudzības nosacījumi iekārtas amortizācijas laikā, un skaidrojums anotācijā. Savukārt, ja atbalsts tiek piešķirts VTNP sniedzēju vajadzībām - infrastruktūras izveidei, piemērojot VTNP lēmumu, tad, ja atbalsts tiek sniegts arī AER izmantojošu iekārtu iegādei, noteikumos jāiekļauj nosacījums, ka 100% no saražotās enerģijas ir jāizmanto pašpatēriņam. Vienlaikus jāpapildina ar skaidrojumu anotācija.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MK noteikumu redakcijas un anotāciju. Precizējumi veikti atbilstoši iebildumā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nosacījumu uzraudzību projekta iesniedzējam būs jāsniedz dati sadarbības iestādei par pašpatēriņam izmantotās enerģijas apjomu. Nosacījums par datu ziņošanu un  pārskatu iesniegšanu tiks iekļauts vienošanās vai līgumā par projekta īstenošanu, kā arī sadarbības iestāde var veikt izlases pārbaudes projekta īstenošanas vietā. Projekta ietvaros attiecināmas ir viedo skaitītāju izmaksas, šis var būt kā viens no risinājumiem atbilstošu datu iegūšanai.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36.1.8. inženiertehnisko sistēmu un iekārtu iegāde un uzstādīšana, kas uzkrāj vai ražo enerģiju no atjaunojamiem energoresursiem, tai skaitā šo sistēmu un iekārtu funkcionalitātei nepieciešamo inženierbūvju būvniecība, kas ir iepriekš minēto sistēmu un iekārtu sastāvdaļa (ievērojot nosacījumu, ka saražoto enerģiju 100 procentu apmērā izmanto projekta ietvaros attīstītajā vai labiekārtotajā teritorijā). Šajā apakšpunktā minētās izmaksas nepārsniedz 30 procentus no projekta kopējām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1 500 metriem novadu teritorijā ārpus nacionālas un reģionālas nozīmes attīstības centriem. Tai skaitā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400 metru un 1500 metru distanci neatkarīgi no teritoriālās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1 500 metriem. Tai skaitā attiecināmās izmaksas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Vēršam uzmanību uz to, ka pasākuma ietvaros ir atbalstāma tikai tāda infrastruktūra, kas balstīta komersantu vajadzībās. Projektam ir jādemonstrē nepārprotama sasaiste ar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projektam, kur plānotas satiksmes infrastruktūras attīstības darbības ir jābūt ciešai sasaistei ar komersantu teritorijām. Jebkurš ielas vai ceļa posms starp komersanta teritoriju (uzņēmējdarbības teritoriju) un funkcionālo savienojumu ir pārrāvums, kas mazina projekta ietekmi uz  komersanta – rādītāju devēja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jau šobrīd paredz vairākas objektīvas opcijas attiecībā uz attālumu starp uzņēmējdarbības teritoriju (komersantu) un funkcionālo savienojumu (posmu, kurā veic projekta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palielināt attālumu pilsētās, paredzot, ka starp uzņēmējdarbības teritoriju un funkcionālo savienojumu pārrāvums var būt līdz 400m.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piedāvājumam pilsētās palielināt attālumu starp funkcionālo savienojumu un uzņēmējdarbības teritoriju līdz 1 500 m, situācijā, kad funkcionālais savienojums ir turpinājums tās pašas ielas vai tā paša ceļa posmam. Komersantu izvietojums pilsētās un teritorijās ārpus pilsētām ir ļoti atšķirīgs. 1500 m pilsētā var aptvert lielu daļu pilsētas teritorijas, ietverot vairākus kvartālus vai visu pilsētas centru ar dažādām ielām, kamēr novadu teritorijā tas ir viens ceļš līdz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200 metriem nacionālas un reģionālas nozīmes attīstības centros (pilsētās) un 400 metriem novadu teritorijā ārpus nacionālas un reģionālas nozīmes attīstības centriem,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1 500 metriem novadu teritorijā ārpus nacionālas un reģionālas nozīmes attīstības centriem. Tai skaitā attiecināmās izmaksas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ievērot vienlīdzīgu un taisnīgu pieeju attiecībā uz rādītāju vērtību attiecināmību, nosakot 400 metru un 1500 metru distanci neatkarīgi no teritoriālās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Noteikuma projekta 35.3.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“35.3. ielu, ceļu, funkcionālo savienojumu un ar tiem saistītās infrastruktūras būvniecības, pārbūves vai atjaunošanas izmaksas projekta iesniedzēja noteiktajā uzņēmējdarbības teritorijā. Funkcionālais savienojums ir ielas vai ceļa posms, kas nepārsniedz divu kilometru garumu līdz projekta iesniedzēja noteiktajai uzņēmējdarbības teritorijai un tā garumā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kad funkcionālais savienojums ir vienīgā alternatīva nokļūšanai no projekta iesniedzēja noteiktās uzņēmējdarbības teritorijas līdz publisko ceļu tīklam vai funkcionālais savienojums ir turpinājums tās pašas ielas vai tā paša ceļa posmam, kas nav garāks par 1 500 metriem. Tai skaitā attiecināmās izmaksas ir:”</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Vēršam uzmanību uz to, ka pasākuma ietvaros ir atbalstāma tikai tāda infrastruktūra, kas balstīta komersantu vajadzībās. Projektam ir jādemonstrē nepārprotama sasaiste ar pasākuma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projektam, kur plānotas satiksmes infrastruktūras attīstības darbības ir jābūt ciešai sasaistei ar komersantu teritorijām. Jebkurš ielas vai ceļa posms starp komersanta teritoriju (uzņēmējdarbības teritoriju) un funkcionālo savienojumu ir pārrāvums, kas mazina projekta ietekmi uz  komersanta – rādītāju devēja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jau šobrīd paredz vairākas objektīvas opcijas attiecībā uz attālumu starp uzņēmējdarbības teritoriju (komersantu) un funkcionālo savienojumu (posmu, kurā veic projekta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palielināt attālumu pilsētās, paredzot, ka starp uzņēmējdarbības teritoriju un funkcionālo savienojumu pārrāvums var būt līdz 400m.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piedāvājumam pilsētās palielināt attālumu starp funkcionālo savienojumu un uzņēmējdarbības teritoriju līdz 1 500 m, situācijā, kad funkcionālais savienojums ir turpinājums tās pašas ielas vai tā paša ceļa posmam. Komersantu izvietojums pilsētās un teritorijās ārpus pilsētām ir ļoti atšķirīgs. 1500 m pilsētā var aptvert lielu daļu pilsētas teritorijas, ietverot vairākus kvartālus vai visu pilsētas centru ar dažādām ielām, kamēr novadu teritorijā tas ir viens ceļš līdz komersantam.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ielu, ceļu, funkcionālo savienojumu un ar tiem saistītās infrastruktūras būvniecības, pārbūves vai atjaunošanas izmaksas projekta iesniedzēja noteiktajā uzņēmējdarbības teritorijā. Funkcionālais savienojums ir ielas vai ceļa posms, kas nepārsniedz divus kilometrus līdz projekta iesniedzēja noteiktajai uzņēmējdarbības teritorijai, un šajā posmā neieskaita komersantam apsaimniekošanā nodoto ceļa posmu starp funkcionālo savienojumu un projekta iesniedzēja noteikto uzņēmējdarbības teritoriju. Funkcionālā savienojuma izmaksas ir attiecināmas arī tad, ja starp projekta iesniedzēja noteikto uzņēmējdarbības teritoriju un funkcionālo savienojumu ir ielas vai ceļa posms, kas nav garāks par 400 metriem, izņemot gadījumu, ja funkcionālais savienojums ir vienīgā alternatīva nokļūšanai no projekta iesniedzēja noteiktās uzņēmējdarbības teritorijas līdz publisko ceļu tīklam vai funkcionālais savienojums ir turpinājums tās pašas ielas vai tā paša ceļa posmam, kas nav garāks par 500 metriem nacionālas un reģionālas nozīmes attīstības centros (pilsētās) un 1500 metriem novadu teritorijā ārpus nacionālas un reģionālas nozīmes attīstības centriem. Tai skaitā attiecināmās izmaksas ir:</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virszemes un pazemes komunikāciju infrastruktūras pārbūves izmaksas, nepalielinot tās apkalpes jaudu raksturojošos tehniskos parametrus, ja, veicot projektā plānotās satiksmes pārvadu, ielu, ceļu vai dzelzceļa pieslēgumu infrastruktūras būvniecības vai teritorijas labiekārtošanas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“33.5. inženiertehniskās būves, sistēmas un iekārtas, kas uzkrāj vai ražo enerģiju no atjaunojamajiem energoresursiem;”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nepieciešams veikt korekcijas arī Noteikumu projekta apakšpunktos Nr. 35.1.8.., 35.2.2., 35.3.5., 50.1., 50.2.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36.5. virszemes un pazemes komunikāciju infrastruktūras pārbūves izmaksas, nepalielinot tās apkalpes jaudu raksturojošos tehniskos parametrus, ja, veicot projektā plānotās satiksmes pārvadu, ielu, ceļu vai dzelzceļa pieslēgumu infrastruktūras būvniecības, teritorijas labiekārtošanas, remediācijas vai sanācijas darbības, saskaņā ar sertificēta būvinženiera ekspertīzes atzinumā norādīto, pastāv sabiedriskā pakalpojuma sniegšanai nepieciešamās infrastruktūras bojāšanas risks vai nav iespējams izvairīties no virszemes vai pazemes komunikāciju infrastruktūras pārbūves vietās, kurās nav papildu pieprasījuma pēc sabiedriskajiem pakalpojumiem, elektroapgādes pakalpojumiem, kā arī, nodrošinot, ka investīcijas nerada priekšrocības inženiertīklu īpašniekam un atbilst nosacījumiem par komercdarbības atbalsta sniegšanu;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Vadlīniju Nr.1.2. “Vadlīnijas attiecināmo izmaksu noteikšanai Eiropas Savienības kohēzijas politikas programmas 2021.-2027.gada plānošanas periodā" 19.1.apakšpunktā noteikto, proti, ka saskaņā ar Kopīgo noteikumu regulas 64.panta 1.punkta c) apakšpunktu PVN ir attiecināmas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Projektiem, kuru kopējās izmaksas ir mazākas par 5 milj. EUR (ieskaitot PVN). Savukārt gadījumos, kad finansējuma saņēmējs ir valsts atbalsta (t.sk. de minimis) saņēmējs PVN tiešajām attiecināmajām izmaksām var tikt attiecināms tikai tādā gadījumā, ja tas nav atgūstams atbilstoši normatīvajiem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Projektiem, kuru kopējās izmaksas ir vismaz 5 milj. EUR (ieskaitot PVN), ja tas nav atgūstams saskaņā ar attiecīgās valsts tiesību aktiem PVN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Gala saņēmēju veiktas investīcijas Finanšu instrumentu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ņemot vērā augstāk minēto, lūdzam attiecīgā punkta redakcija papildināt ar nosacījumu, ka PVN ir attiecināmās izmaksas, ja vien nav atgūstams saskaņā ar valsts tiesību aktiem nodokļu politikas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Pievienotās vērtības nodoklis, kas tiešā veidā saistīts ar projektu, uzskatāms par attiecināmām izmaksām saskaņā ar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64. panta 1. punkta "c" apakšpunktā ietvertajiem nosacījumiem, ja tas nav atgūstams atbilstoši normatīvajiem aktiem par pievienotās vērtības nodokli.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publiska persona – publiskas personas īpašumā vai valdījumā esošā īpašumā, ja valdījuma tiesības ir iegūtas uz termiņu, kas nav īsāks par pieciem gadiem no dienas, kad veikts projekta noslēguma maksājums finansējuma saņēmējam. Ja plānots piemērot regulas Nr. 651/2014 41. pantā paredzēto atbalstu, ievēro šo noteikumu </w:t>
            </w:r>
            <w:r w:rsidR="00000000" w:rsidRPr="00000000" w:rsidDel="00000000">
              <w:rPr>
                <w:rtl w:val="0"/>
              </w:rPr>
              <w:t xml:space="preserve">54.1.</w:t>
            </w:r>
            <w:r w:rsidR="00000000" w:rsidRPr="00000000" w:rsidDel="00000000">
              <w:rPr>
                <w:rtl w:val="0"/>
              </w:rPr>
              <w:t xml:space="preserve"> apakšpunktā minētos nosacījumus. Ja plānots piemērot regulas Nr. 651/2014 56. pantā paredzēto atbalstu, ievēro šo noteikumu </w:t>
            </w:r>
            <w:r w:rsidR="00000000" w:rsidRPr="00000000" w:rsidDel="00000000">
              <w:rPr>
                <w:rtl w:val="0"/>
              </w:rPr>
              <w:t xml:space="preserve">55.</w:t>
            </w:r>
            <w:r w:rsidR="00000000" w:rsidRPr="00000000" w:rsidDel="00000000">
              <w:rPr>
                <w:rtl w:val="0"/>
              </w:rPr>
              <w:t xml:space="preserve">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56. pantu vietējās infrastruktūras izveidošanai piemēro, veicot finanšu iztrūkuma analīzi un attiecīgi arī projekta uzraudzību projekta dzīves ciklā (projekta pārskata periodā, ieguldījumu lietderīgajā izmantošanas laikā jeb ieguldījumu amortizācijas periodā), t.i. atbilstoši anotācijā skaidrotajam, - uzņēmējdarbības infrastruktūrai projekta pārskata periodā jeb dzīves ciklā, kas ir noteikts 10 – 15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šo noteikumu projekta punktu un noteikumos (piemēram, arī šo noteikumu 55.punktu) nosacījumu par valdījuma tiesībām, jo valdījuma tiesību periods nevar būt īsāks par saistībām projektā un uzraudzības periodu.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publiska persona – publiskas personas īpašumā vai valdījumā esošā īpašumā, ja valdījuma tiesības ir iegūtas uz termiņu, kas nav īsāks par pieciem gadiem no dienas, kad veikts projekta noslēguma maksājums finansējuma saņēmējam.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41. pantā paredzēto atbalstu, ievēro šo noteikumu </w:t>
            </w:r>
            <w:r w:rsidR="00000000" w:rsidRPr="00000000" w:rsidDel="00000000">
              <w:rPr>
                <w:rtl w:val="0"/>
              </w:rPr>
              <w:t xml:space="preserve">57.1.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45. pantā paredzēto atbalstu, ievēro šo noteikumu </w:t>
            </w:r>
            <w:r w:rsidR="00000000" w:rsidRPr="00000000" w:rsidDel="00000000">
              <w:rPr>
                <w:rtl w:val="0"/>
              </w:rPr>
              <w:t xml:space="preserve">58.1.</w:t>
            </w:r>
            <w:r w:rsidR="00000000" w:rsidRPr="00000000" w:rsidDel="00000000">
              <w:rPr>
                <w:rtl w:val="0"/>
              </w:rPr>
              <w:t xml:space="preserve"> apakšpunktā minētos nosacījumus. Ja plānots piemērot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56. pantā paredzēto atbalstu, ievēro šo noteikumu </w:t>
            </w:r>
            <w:r w:rsidR="00000000" w:rsidRPr="00000000" w:rsidDel="00000000">
              <w:rPr>
                <w:rtl w:val="0"/>
              </w:rPr>
              <w:t xml:space="preserve">59.</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ir attiecināmas no projekta iesnieguma iesniegšanas brīža sadarbības iestādē, izņemot šādas izmaksas, kas ir attiecināmas no 2021. gada 1. janvāra: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38.punktā un atkārtoti lūdzam papildināt MK noteikumu projektu ar normu, ka gadījumā, ja atbalsts tiek piešķirts projektam vai projekta daļai saskaņā ar Komisijas regulu Nr.651/2014, un darbi pie projekta jau ir uzsākti, viss projekts, vai projekta daļa, uz kuru ir attiecināmi Komisijas regulas Nr.651/2014 nosacījumi, ir neattiecināma.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ir attiecināmas no projekta iesnieguma iesniegšanas brīža sadarbības iestādē, izņemot šādas izmaksas, kas ir attiecināmas no 2021.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ir attiecināmas no projekta iesnieguma iesniegšanas brīža sadarbības iestādē, izņemot šo noteikumu </w:t>
            </w:r>
            <w:r w:rsidR="00000000" w:rsidRPr="00000000" w:rsidDel="00000000">
              <w:rPr>
                <w:rtl w:val="0"/>
              </w:rPr>
              <w:t xml:space="preserve">35.8.1.</w:t>
            </w:r>
            <w:r w:rsidR="00000000" w:rsidRPr="00000000" w:rsidDel="00000000">
              <w:rPr>
                <w:rtl w:val="0"/>
              </w:rPr>
              <w:t xml:space="preserve"> apakšpunktā minētās projekta pamatojošās dokumentācijas sagatavošanas izmaksas un šo noteikumu </w:t>
            </w:r>
            <w:r w:rsidR="00000000" w:rsidRPr="00000000" w:rsidDel="00000000">
              <w:rPr>
                <w:rtl w:val="0"/>
              </w:rPr>
              <w:t xml:space="preserve">35.3.6.</w:t>
            </w:r>
            <w:r w:rsidR="00000000" w:rsidRPr="00000000" w:rsidDel="00000000">
              <w:rPr>
                <w:rtl w:val="0"/>
              </w:rPr>
              <w:t xml:space="preserve"> apakšpunktā minētās zemes iegādes izmaksas, kas ir attiecināmas no 2021. gada 1. janvāra. Būvdarbu līgumu slēdz un ar ieguldījumiem saistītus būvdarbus uzsāk pēc projekta iesnieguma iesniegšanas sadarbības iestādē, kā  arī, lai nodrošinātu Komisijas regulas Nr. 651/2014 6. panta 2. punktā minēto stimulējošās ietekmes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 gadījumā, ja atbalsts tiek piešķirts projektam vai projekta daļai saskaņā ar Komisijas regulu Nr. 651/2014, un darbi pie projekta jau ir uzsākti pirms pieteikuma iesniegšanas, pārkāpjot stimulējošās ietekmes nosacījumu, viss projekts, vai projekta daļa, uz kuru attiecas stimulējošās ietekmes prasība, ir neattiecināma.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ir attiecināmas no projekta iesnieguma iesniegšanas brīža sadarbības iestādē, izņemot šādas izmaksas, kas ir attiecināmas no 2021.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Izmaksas ir attiecināmas no projekta iesnieguma iesniegšanas brīža sadarbības iestādē, izņemot šo noteikumu </w:t>
            </w:r>
            <w:r w:rsidR="00000000" w:rsidRPr="00000000" w:rsidDel="00000000">
              <w:rPr>
                <w:rtl w:val="0"/>
              </w:rPr>
              <w:t xml:space="preserve">35.8.1.</w:t>
            </w:r>
            <w:r w:rsidR="00000000" w:rsidRPr="00000000" w:rsidDel="00000000">
              <w:rPr>
                <w:rtl w:val="0"/>
              </w:rPr>
              <w:t xml:space="preserve"> apakšpunktā minētās projekta pamatojošās dokumentācijas sagatavošanas izmaksas un šo noteikumu </w:t>
            </w:r>
            <w:r w:rsidR="00000000" w:rsidRPr="00000000" w:rsidDel="00000000">
              <w:rPr>
                <w:rtl w:val="0"/>
              </w:rPr>
              <w:t xml:space="preserve">35.3.6.</w:t>
            </w:r>
            <w:r w:rsidR="00000000" w:rsidRPr="00000000" w:rsidDel="00000000">
              <w:rPr>
                <w:rtl w:val="0"/>
              </w:rPr>
              <w:t xml:space="preserve"> apakšpunktā minētās zemes iegādes izmaksas, kas ir attiecināmas no 2021. gada 1. janvāra. Būvdarbu līgumu slēdz un ar ieguldījumiem saistītus būvdarbus uzsāk pēc projekta iesnieguma iesniegšanas sadarbības iestādē, kā  arī, lai nodrošinātu Komisijas regulas Nr. 651/2014 6. panta 2. punktā minēto stimulējošās ietekmes prasību.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pamatot, kāpēc šo noteikumu projekta 35.3.6. apakšpunktā minētās zemes iegādes izmaksas ir attiecināmas no 2021. gada 1. janvāra.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šāds termiņš noteikts, ievērojot Eiropas Savienības fondu 2021.—2027. gada plānošanas perioda vadības likuma 36. panta nosacījumus, kā arī, ņemot vērā ES fondu 2021. – 2027. gada plānošanas perioda sākumu.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Izmaksas ir attiecināmas no projekta iesnieguma iesniegšanas brīža sadarbības iestādē, izņemot šādas izmaksas, kas ir attiecināmas no 2021. gada 1. janvāra: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piešķir saskaņā ar regulas Nr. </w:t>
            </w:r>
            <w:r w:rsidR="00000000" w:rsidRPr="00000000" w:rsidDel="00000000">
              <w:rPr>
                <w:rtl w:val="0"/>
              </w:rPr>
              <w:t xml:space="preserve">651/2014</w:t>
            </w:r>
            <w:r w:rsidR="00000000" w:rsidRPr="00000000" w:rsidDel="00000000">
              <w:rPr>
                <w:rtl w:val="0"/>
              </w:rPr>
              <w:t xml:space="preserve"> 14., 41., 45., 48.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Projekta ietvaros var kombinēt izmaksas, kuras ir saistītas un kuras nav saistītas ar komercdarbības atbalstu, vienlaikus nodrošinot izmaksu, kas ir attiecināmas uz komercdarbības atbalstu un izmaksu, kas nav attiecināmas uz komercdarbības atbalstu,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MK noteikumu projekta 50.punkta redakciju, dzēšot atsauces uz MK noteikumu projekta 44. un 62.punktu, ņemot vērā, ka Komisijas regulas Nr.651/2014 normas ir iekļautas ne tikai MK noteikumu projekta 44. un 62.punktā, bet arī pārējos noteikumu projekta punktos.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precizēt MK noteikumu projekta 50.punkta 2.teikumu – vēršam uzmanību, ka projekta ietvaros var veikt darbības, kurām atbalsts tiek sniegts kā komercdarbības atbalsts, kā arī darbības, kurām atbalsts neklasificējas kā komercdarbības atbalsts, attiecīgi lūdzam noteikumos ietvert normu par darbību vai izmaksu nodalīšanu, lai ar saimnieciskās darbības veikšanu saistītās aktivitātes negūst labumu no atbalsta, kas tiek sniegts ar saimniecisko darbību nesaistīto aktivitāšu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50. punkts ir vispārīgs un paredz dažādas finansējuma kombinācijas, skaidrojam, ka atbalsta saņēmējam no noteikumu projekta ir jāsaņem skaidrība, kā jārīkojas katrā gadījumā - MK noteikumu projekta 70.punktā ir jau konkrētāk korekti skaidroti kumulācijas nosacījumi, lūdzam pārskatīt un, iespējams, dzēst MK noteikumu projekta 50.punkta 2.teikumu.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28.08.2023 sanāksmē panāktajai vienošanās punkta otrais teikums izveidots kā jauns MK noteikumu projekta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Komercdarbības atbalstu piešķir saskaņā ar regulas Nr. </w:t>
            </w:r>
            <w:r w:rsidR="00000000" w:rsidRPr="00000000" w:rsidDel="00000000">
              <w:rPr>
                <w:rtl w:val="0"/>
              </w:rPr>
              <w:t xml:space="preserve">651/2014</w:t>
            </w:r>
            <w:r w:rsidR="00000000" w:rsidRPr="00000000" w:rsidDel="00000000">
              <w:rPr>
                <w:rtl w:val="0"/>
              </w:rPr>
              <w:t xml:space="preserve"> 14., 41., 48. vai 56. pantu un šo noteikumu </w:t>
            </w:r>
            <w:r w:rsidR="00000000" w:rsidRPr="00000000" w:rsidDel="00000000">
              <w:rPr>
                <w:rtl w:val="0"/>
              </w:rPr>
              <w:t xml:space="preserve">42.</w:t>
            </w:r>
            <w:r w:rsidR="00000000" w:rsidRPr="00000000" w:rsidDel="00000000">
              <w:rPr>
                <w:rtl w:val="0"/>
              </w:rPr>
              <w:t xml:space="preserve"> un </w:t>
            </w:r>
            <w:r w:rsidR="00000000" w:rsidRPr="00000000" w:rsidDel="00000000">
              <w:rPr>
                <w:rtl w:val="0"/>
              </w:rPr>
              <w:t xml:space="preserve">58.</w:t>
            </w:r>
            <w:r w:rsidR="00000000" w:rsidRPr="00000000" w:rsidDel="00000000">
              <w:rPr>
                <w:rtl w:val="0"/>
              </w:rPr>
              <w:t xml:space="preserve"> punktu. Projekta ietvaros var kombinēt izmaksas, kuras ir saistītas un kuras nav saistītas ar komercdarbības atbalstu, vienlaikus nodrošinot izmaksu, kas ir attiecināmas uz komercdarbības atbalstu un izmaksu, kas nav attiecināmas uz komercdarbības atbalstu, nodalīšanu.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punktu, jo nav skaidrs, kādēļ dotas atsauces uz šo noteikumu 42. un 58. punktu, ja jāievēro ir arī citi atbilstošie noteikumu punkti.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attiecīgā punkta redakciju, tiek saglabāta esošā punkta redakcija, lai vērstu finansējuma saņēmēja uzmanību uz citiem MK noteikumu punktiem par regulas nosacījumiem, kas ir būtiski komercdarbības atbalsta piešķiršanā.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Komercdarbības atbalstu piešķir saskaņā ar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14., 41., 45. vai 56. pantu un šo noteikumu </w:t>
            </w:r>
            <w:r w:rsidR="00000000" w:rsidRPr="00000000" w:rsidDel="00000000">
              <w:rPr>
                <w:rtl w:val="0"/>
              </w:rPr>
              <w:t xml:space="preserve">44.</w:t>
            </w:r>
            <w:r w:rsidR="00000000" w:rsidRPr="00000000" w:rsidDel="00000000">
              <w:rPr>
                <w:rtl w:val="0"/>
              </w:rPr>
              <w:t xml:space="preserve"> un </w:t>
            </w:r>
            <w:r w:rsidR="00000000" w:rsidRPr="00000000" w:rsidDel="00000000">
              <w:rPr>
                <w:rtl w:val="0"/>
              </w:rPr>
              <w:t xml:space="preserve">62.</w:t>
            </w:r>
            <w:r w:rsidR="00000000" w:rsidRPr="00000000" w:rsidDel="00000000">
              <w:rPr>
                <w:rtl w:val="0"/>
              </w:rPr>
              <w:t xml:space="preserve"> punktu.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 atbalstu piešķir sākotnējiem ieguldījumiem atbilstoši šo noteikumu </w:t>
            </w:r>
            <w:r w:rsidR="00000000" w:rsidRPr="00000000" w:rsidDel="00000000">
              <w:rPr>
                <w:rtl w:val="0"/>
              </w:rPr>
              <w:t xml:space="preserve">35.4.1.</w:t>
            </w:r>
            <w:r w:rsidR="00000000" w:rsidRPr="00000000" w:rsidDel="00000000">
              <w:rPr>
                <w:rtl w:val="0"/>
              </w:rPr>
              <w:t xml:space="preserve"> </w:t>
            </w:r>
            <w:r w:rsidR="00000000" w:rsidRPr="00000000" w:rsidDel="00000000">
              <w:rPr>
                <w:rtl w:val="0"/>
              </w:rPr>
              <w:t xml:space="preserve">35.4.2.</w:t>
            </w:r>
            <w:r w:rsidR="00000000" w:rsidRPr="00000000" w:rsidDel="00000000">
              <w:rPr>
                <w:rtl w:val="0"/>
              </w:rPr>
              <w:t xml:space="preserve">, </w:t>
            </w:r>
            <w:r w:rsidR="00000000" w:rsidRPr="00000000" w:rsidDel="00000000">
              <w:rPr>
                <w:rtl w:val="0"/>
              </w:rPr>
              <w:t xml:space="preserve">35.4.4.</w:t>
            </w:r>
            <w:r w:rsidR="00000000" w:rsidRPr="00000000" w:rsidDel="00000000">
              <w:rPr>
                <w:rtl w:val="0"/>
              </w:rPr>
              <w:t xml:space="preserve">, </w:t>
            </w:r>
            <w:r w:rsidR="00000000" w:rsidRPr="00000000" w:rsidDel="00000000">
              <w:rPr>
                <w:rtl w:val="0"/>
              </w:rPr>
              <w:t xml:space="preserve">35.4.5.</w:t>
            </w:r>
            <w:r w:rsidR="00000000" w:rsidRPr="00000000" w:rsidDel="00000000">
              <w:rPr>
                <w:rtl w:val="0"/>
              </w:rPr>
              <w:t xml:space="preserve">, </w:t>
            </w:r>
            <w:r w:rsidR="00000000" w:rsidRPr="00000000" w:rsidDel="00000000">
              <w:rPr>
                <w:rtl w:val="0"/>
              </w:rPr>
              <w:t xml:space="preserve">35.4.6.</w:t>
            </w:r>
            <w:r w:rsidR="00000000" w:rsidRPr="00000000" w:rsidDel="00000000">
              <w:rPr>
                <w:rtl w:val="0"/>
              </w:rPr>
              <w:t xml:space="preserve"> un </w:t>
            </w:r>
            <w:r w:rsidR="00000000" w:rsidRPr="00000000" w:rsidDel="00000000">
              <w:rPr>
                <w:rtl w:val="0"/>
              </w:rPr>
              <w:t xml:space="preserve">35.4.7.</w:t>
            </w:r>
            <w:r w:rsidR="00000000" w:rsidRPr="00000000" w:rsidDel="00000000">
              <w:rPr>
                <w:rtl w:val="0"/>
              </w:rPr>
              <w:t xml:space="preserve"> apakšpunktā minētajām uzņēmējdarbības mērķiem paredzēto ēku un to saistītās infrastruktūras attīstīšanas attiecināmajām izmaksām, šo noteikumu  </w:t>
            </w:r>
            <w:r w:rsidR="00000000" w:rsidRPr="00000000" w:rsidDel="00000000">
              <w:rPr>
                <w:rtl w:val="0"/>
              </w:rPr>
              <w:t xml:space="preserve">35.1.1.</w:t>
            </w:r>
            <w:r w:rsidR="00000000" w:rsidRPr="00000000" w:rsidDel="00000000">
              <w:rPr>
                <w:rtl w:val="0"/>
              </w:rPr>
              <w:t xml:space="preserve">, </w:t>
            </w:r>
            <w:r w:rsidR="00000000" w:rsidRPr="00000000" w:rsidDel="00000000">
              <w:rPr>
                <w:rtl w:val="0"/>
              </w:rPr>
              <w:t xml:space="preserve">35.1.3.</w:t>
            </w:r>
            <w:r w:rsidR="00000000" w:rsidRPr="00000000" w:rsidDel="00000000">
              <w:rPr>
                <w:rtl w:val="0"/>
              </w:rPr>
              <w:t xml:space="preserve">, </w:t>
            </w:r>
            <w:r w:rsidR="00000000" w:rsidRPr="00000000" w:rsidDel="00000000">
              <w:rPr>
                <w:rtl w:val="0"/>
              </w:rPr>
              <w:t xml:space="preserve">35.1.4.</w:t>
            </w:r>
            <w:r w:rsidR="00000000" w:rsidRPr="00000000" w:rsidDel="00000000">
              <w:rPr>
                <w:rtl w:val="0"/>
              </w:rPr>
              <w:t xml:space="preserve">,  </w:t>
            </w:r>
            <w:r w:rsidR="00000000" w:rsidRPr="00000000" w:rsidDel="00000000">
              <w:rPr>
                <w:rtl w:val="0"/>
              </w:rPr>
              <w:t xml:space="preserve">35.1.5.</w:t>
            </w:r>
            <w:r w:rsidR="00000000" w:rsidRPr="00000000" w:rsidDel="00000000">
              <w:rPr>
                <w:rtl w:val="0"/>
              </w:rPr>
              <w:t xml:space="preserve">, </w:t>
            </w:r>
            <w:r w:rsidR="00000000" w:rsidRPr="00000000" w:rsidDel="00000000">
              <w:rPr>
                <w:rtl w:val="0"/>
              </w:rPr>
              <w:t xml:space="preserve">35.1.6.</w:t>
            </w:r>
            <w:r w:rsidR="00000000" w:rsidRPr="00000000" w:rsidDel="00000000">
              <w:rPr>
                <w:rtl w:val="0"/>
              </w:rPr>
              <w:t xml:space="preserve"> un </w:t>
            </w:r>
            <w:r w:rsidR="00000000" w:rsidRPr="00000000" w:rsidDel="00000000">
              <w:rPr>
                <w:rtl w:val="0"/>
              </w:rPr>
              <w:t xml:space="preserve">35.1.7.</w:t>
            </w:r>
            <w:r w:rsidR="00000000" w:rsidRPr="00000000" w:rsidDel="00000000">
              <w:rPr>
                <w:rtl w:val="0"/>
              </w:rPr>
              <w:t xml:space="preserve"> apakšpunktā minētajām uzņēmējdarbības teritorijas attīstīšanas un labiekārtošanas attiecināmajām izmaksām, šo noteikumu </w:t>
            </w:r>
            <w:r w:rsidR="00000000" w:rsidRPr="00000000" w:rsidDel="00000000">
              <w:rPr>
                <w:rtl w:val="0"/>
              </w:rPr>
              <w:t xml:space="preserve">35.3.1.</w:t>
            </w:r>
            <w:r w:rsidR="00000000" w:rsidRPr="00000000" w:rsidDel="00000000">
              <w:rPr>
                <w:rtl w:val="0"/>
              </w:rPr>
              <w:t xml:space="preserve">, </w:t>
            </w:r>
            <w:r w:rsidR="00000000" w:rsidRPr="00000000" w:rsidDel="00000000">
              <w:rPr>
                <w:rtl w:val="0"/>
              </w:rPr>
              <w:t xml:space="preserve">35.3.2.</w:t>
            </w:r>
            <w:r w:rsidR="00000000" w:rsidRPr="00000000" w:rsidDel="00000000">
              <w:rPr>
                <w:rtl w:val="0"/>
              </w:rPr>
              <w:t xml:space="preserve">, </w:t>
            </w:r>
            <w:r w:rsidR="00000000" w:rsidRPr="00000000" w:rsidDel="00000000">
              <w:rPr>
                <w:rtl w:val="0"/>
              </w:rPr>
              <w:t xml:space="preserve">35.3.3.</w:t>
            </w:r>
            <w:r w:rsidR="00000000" w:rsidRPr="00000000" w:rsidDel="00000000">
              <w:rPr>
                <w:rtl w:val="0"/>
              </w:rPr>
              <w:t xml:space="preserve">, </w:t>
            </w:r>
            <w:r w:rsidR="00000000" w:rsidRPr="00000000" w:rsidDel="00000000">
              <w:rPr>
                <w:rtl w:val="0"/>
              </w:rPr>
              <w:t xml:space="preserve">35.3.4.</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35.5.</w:t>
            </w:r>
            <w:r w:rsidR="00000000" w:rsidRPr="00000000" w:rsidDel="00000000">
              <w:rPr>
                <w:rtl w:val="0"/>
              </w:rPr>
              <w:t xml:space="preserve"> apakšpunktā minētajām komunikāciju pārbūves izmaksām un šo noteikumu </w:t>
            </w:r>
            <w:r w:rsidR="00000000" w:rsidRPr="00000000" w:rsidDel="00000000">
              <w:rPr>
                <w:rtl w:val="0"/>
              </w:rPr>
              <w:t xml:space="preserve">36.</w:t>
            </w:r>
            <w:r w:rsidR="00000000" w:rsidRPr="00000000" w:rsidDel="00000000">
              <w:rPr>
                <w:rtl w:val="0"/>
              </w:rPr>
              <w:t xml:space="preserve"> punktā minētajām izmaksām . Ņemot vērā šajā apakšpunktā minēto,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viennozīmīgi būtu skaidrs, kas tiek saprasts ar jēdzienu "sākotnējais ieguldījums", lūdzam noteikumu projektu papildināt ar atsauci uz attiecīgo regulas Nr. 651/2014 punktu un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redakciju un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 atbalstu piešķir sākotnējiem ieguldījumiem regulas Nr. </w:t>
            </w:r>
            <w:r w:rsidR="00000000" w:rsidRPr="00000000" w:rsidDel="00000000">
              <w:rPr>
                <w:rtl w:val="0"/>
              </w:rPr>
              <w:t xml:space="preserve">651/2014</w:t>
            </w:r>
            <w:r w:rsidR="00000000" w:rsidRPr="00000000" w:rsidDel="00000000">
              <w:rPr>
                <w:rtl w:val="0"/>
              </w:rPr>
              <w:t xml:space="preserve"> </w:t>
            </w:r>
            <w:r w:rsidR="00000000" w:rsidRPr="00000000" w:rsidDel="00000000">
              <w:rPr>
                <w:rtl w:val="0"/>
              </w:rPr>
              <w:t xml:space="preserve">  2. panta 49. punkta izpratnē atbilstoši šo noteikumu </w:t>
            </w:r>
            <w:r w:rsidR="00000000" w:rsidRPr="00000000" w:rsidDel="00000000">
              <w:rPr>
                <w:rtl w:val="0"/>
              </w:rPr>
              <w:t xml:space="preserve">36.4.1.</w:t>
            </w:r>
            <w:r w:rsidR="00000000" w:rsidRPr="00000000" w:rsidDel="00000000">
              <w:rPr>
                <w:rtl w:val="0"/>
              </w:rPr>
              <w:t xml:space="preserve"> </w:t>
            </w:r>
            <w:r w:rsidR="00000000" w:rsidRPr="00000000" w:rsidDel="00000000">
              <w:rPr>
                <w:rtl w:val="0"/>
              </w:rPr>
              <w:t xml:space="preserve">36.4.2.</w:t>
            </w:r>
            <w:r w:rsidR="00000000" w:rsidRPr="00000000" w:rsidDel="00000000">
              <w:rPr>
                <w:rtl w:val="0"/>
              </w:rPr>
              <w:t xml:space="preserve">, </w:t>
            </w:r>
            <w:r w:rsidR="00000000" w:rsidRPr="00000000" w:rsidDel="00000000">
              <w:rPr>
                <w:rtl w:val="0"/>
              </w:rPr>
              <w:t xml:space="preserve">36.4.3.</w:t>
            </w:r>
            <w:r w:rsidR="00000000" w:rsidRPr="00000000" w:rsidDel="00000000">
              <w:rPr>
                <w:rtl w:val="0"/>
              </w:rPr>
              <w:t xml:space="preserve"> , </w:t>
            </w:r>
            <w:r w:rsidR="00000000" w:rsidRPr="00000000" w:rsidDel="00000000">
              <w:rPr>
                <w:rtl w:val="0"/>
              </w:rPr>
              <w:t xml:space="preserve">36.4.4.</w:t>
            </w:r>
            <w:r w:rsidR="00000000" w:rsidRPr="00000000" w:rsidDel="00000000">
              <w:rPr>
                <w:rtl w:val="0"/>
              </w:rPr>
              <w:t xml:space="preserve">, </w:t>
            </w:r>
            <w:r w:rsidR="00000000" w:rsidRPr="00000000" w:rsidDel="00000000">
              <w:rPr>
                <w:rtl w:val="0"/>
              </w:rPr>
              <w:t xml:space="preserve">36.4.5.</w:t>
            </w:r>
            <w:r w:rsidR="00000000" w:rsidRPr="00000000" w:rsidDel="00000000">
              <w:rPr>
                <w:rtl w:val="0"/>
              </w:rPr>
              <w:t xml:space="preserve">, </w:t>
            </w:r>
            <w:r w:rsidR="00000000" w:rsidRPr="00000000" w:rsidDel="00000000">
              <w:rPr>
                <w:rtl w:val="0"/>
              </w:rPr>
              <w:t xml:space="preserve">36.4.6.</w:t>
            </w:r>
            <w:r w:rsidR="00000000" w:rsidRPr="00000000" w:rsidDel="00000000">
              <w:rPr>
                <w:rtl w:val="0"/>
              </w:rPr>
              <w:t xml:space="preserve"> un </w:t>
            </w:r>
            <w:r w:rsidR="00000000" w:rsidRPr="00000000" w:rsidDel="00000000">
              <w:rPr>
                <w:rtl w:val="0"/>
              </w:rPr>
              <w:t xml:space="preserve">36.4.7.</w:t>
            </w:r>
            <w:r w:rsidR="00000000" w:rsidRPr="00000000" w:rsidDel="00000000">
              <w:rPr>
                <w:rtl w:val="0"/>
              </w:rPr>
              <w:t xml:space="preserve"> apakšpunktā minētajām uzņēmējdarbības mērķiem paredzēto ēku un to saistītās infrastruktūras attīstīšanas izmaksām,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36.1.3.</w:t>
            </w:r>
            <w:r w:rsidR="00000000" w:rsidRPr="00000000" w:rsidDel="00000000">
              <w:rPr>
                <w:rtl w:val="0"/>
              </w:rPr>
              <w:t xml:space="preserve">, </w:t>
            </w:r>
            <w:r w:rsidR="00000000" w:rsidRPr="00000000" w:rsidDel="00000000">
              <w:rPr>
                <w:rtl w:val="0"/>
              </w:rPr>
              <w:t xml:space="preserve">36.1.4.</w:t>
            </w:r>
            <w:r w:rsidR="00000000" w:rsidRPr="00000000" w:rsidDel="00000000">
              <w:rPr>
                <w:rtl w:val="0"/>
              </w:rPr>
              <w:t xml:space="preserve">,  </w:t>
            </w:r>
            <w:r w:rsidR="00000000" w:rsidRPr="00000000" w:rsidDel="00000000">
              <w:rPr>
                <w:rtl w:val="0"/>
              </w:rPr>
              <w:t xml:space="preserve">36.1.5.</w:t>
            </w:r>
            <w:r w:rsidR="00000000" w:rsidRPr="00000000" w:rsidDel="00000000">
              <w:rPr>
                <w:rtl w:val="0"/>
              </w:rPr>
              <w:t xml:space="preserve">, </w:t>
            </w:r>
            <w:r w:rsidR="00000000" w:rsidRPr="00000000" w:rsidDel="00000000">
              <w:rPr>
                <w:rtl w:val="0"/>
              </w:rPr>
              <w:t xml:space="preserve">36.1.6.</w:t>
            </w:r>
            <w:r w:rsidR="00000000" w:rsidRPr="00000000" w:rsidDel="00000000">
              <w:rPr>
                <w:rtl w:val="0"/>
              </w:rPr>
              <w:t xml:space="preserve">, </w:t>
            </w:r>
            <w:r w:rsidR="00000000" w:rsidRPr="00000000" w:rsidDel="00000000">
              <w:rPr>
                <w:rtl w:val="0"/>
              </w:rPr>
              <w:t xml:space="preserve">36.1.7.</w:t>
            </w:r>
            <w:r w:rsidR="00000000" w:rsidRPr="00000000" w:rsidDel="00000000">
              <w:rPr>
                <w:rtl w:val="0"/>
              </w:rPr>
              <w:t xml:space="preserve"> un </w:t>
            </w:r>
            <w:r w:rsidR="00000000" w:rsidRPr="00000000" w:rsidDel="00000000">
              <w:rPr>
                <w:rtl w:val="0"/>
              </w:rPr>
              <w:t xml:space="preserve">36.1.8.</w:t>
            </w:r>
            <w:r w:rsidR="00000000" w:rsidRPr="00000000" w:rsidDel="00000000">
              <w:rPr>
                <w:rtl w:val="0"/>
              </w:rPr>
              <w:t xml:space="preserve"> apakšpunktā minētajām uzņēmējdarbības teritorijas attīstīšanas un labiekārtošanas izmaksām, šo noteikumu </w:t>
            </w:r>
            <w:r w:rsidR="00000000" w:rsidRPr="00000000" w:rsidDel="00000000">
              <w:rPr>
                <w:rtl w:val="0"/>
              </w:rPr>
              <w:t xml:space="preserve">36.3.1.</w:t>
            </w:r>
            <w:r w:rsidR="00000000" w:rsidRPr="00000000" w:rsidDel="00000000">
              <w:rPr>
                <w:rtl w:val="0"/>
              </w:rPr>
              <w:t xml:space="preserve">, </w:t>
            </w:r>
            <w:r w:rsidR="00000000" w:rsidRPr="00000000" w:rsidDel="00000000">
              <w:rPr>
                <w:rtl w:val="0"/>
              </w:rPr>
              <w:t xml:space="preserve">36.3.2.</w:t>
            </w:r>
            <w:r w:rsidR="00000000" w:rsidRPr="00000000" w:rsidDel="00000000">
              <w:rPr>
                <w:rtl w:val="0"/>
              </w:rPr>
              <w:t xml:space="preserve">, </w:t>
            </w:r>
            <w:r w:rsidR="00000000" w:rsidRPr="00000000" w:rsidDel="00000000">
              <w:rPr>
                <w:rtl w:val="0"/>
              </w:rPr>
              <w:t xml:space="preserve">36.3.3.</w:t>
            </w:r>
            <w:r w:rsidR="00000000" w:rsidRPr="00000000" w:rsidDel="00000000">
              <w:rPr>
                <w:rtl w:val="0"/>
              </w:rPr>
              <w:t xml:space="preserve">, </w:t>
            </w:r>
            <w:r w:rsidR="00000000" w:rsidRPr="00000000" w:rsidDel="00000000">
              <w:rPr>
                <w:rtl w:val="0"/>
              </w:rPr>
              <w:t xml:space="preserve">36.3.4.</w:t>
            </w:r>
            <w:r w:rsidR="00000000" w:rsidRPr="00000000" w:rsidDel="00000000">
              <w:rPr>
                <w:rtl w:val="0"/>
              </w:rPr>
              <w:t xml:space="preserve"> un </w:t>
            </w:r>
            <w:r w:rsidR="00000000" w:rsidRPr="00000000" w:rsidDel="00000000">
              <w:rPr>
                <w:rtl w:val="0"/>
              </w:rPr>
              <w:t xml:space="preserve">36.3.5.</w:t>
            </w:r>
            <w:r w:rsidR="00000000" w:rsidRPr="00000000" w:rsidDel="00000000">
              <w:rPr>
                <w:rtl w:val="0"/>
              </w:rPr>
              <w:t xml:space="preserve"> apakšpunktā minētajām satiksmes infrastruktūras, tai skaitā stāvlaukumu izmaksām, ko attīsta kā mērķorientētu infrastruktūru, šo noteikumu </w:t>
            </w:r>
            <w:r w:rsidR="00000000" w:rsidRPr="00000000" w:rsidDel="00000000">
              <w:rPr>
                <w:rtl w:val="0"/>
              </w:rPr>
              <w:t xml:space="preserve">36.2.2.</w:t>
            </w:r>
            <w:r w:rsidR="00000000" w:rsidRPr="00000000" w:rsidDel="00000000">
              <w:rPr>
                <w:rtl w:val="0"/>
              </w:rPr>
              <w:t xml:space="preserve"> apakšpunktā minētajām elektroenerģijas infrastruktūras izmaksām, šo noteikumu </w:t>
            </w:r>
            <w:r w:rsidR="00000000" w:rsidRPr="00000000" w:rsidDel="00000000">
              <w:rPr>
                <w:rtl w:val="0"/>
              </w:rPr>
              <w:t xml:space="preserve">36.5.</w:t>
            </w:r>
            <w:r w:rsidR="00000000" w:rsidRPr="00000000" w:rsidDel="00000000">
              <w:rPr>
                <w:rtl w:val="0"/>
              </w:rPr>
              <w:t xml:space="preserve"> apakšpunktā minētajām komunikāciju pārbūves izmaksām un šo noteikumu </w:t>
            </w:r>
            <w:r w:rsidR="00000000" w:rsidRPr="00000000" w:rsidDel="00000000">
              <w:rPr>
                <w:rtl w:val="0"/>
              </w:rPr>
              <w:t xml:space="preserve">37.</w:t>
            </w:r>
            <w:r w:rsidR="00000000" w:rsidRPr="00000000" w:rsidDel="00000000">
              <w:rPr>
                <w:rtl w:val="0"/>
              </w:rPr>
              <w:t xml:space="preserve"> punktā minētajām izmaksām. Ņemot vērā šajā apakšpunktā minētos nosacījumus, atbalstu piešķir ieguldījumiem materiālajos aktīvos (piemēram, uzņēmējdarbības teritorija, uzņēmējdarbības teritorijas iekšējie ceļi, kas nav publiski pieejami, ražošanas ēkas), kas attiecas uz jaunas uzņēmējdarbības vietas izveidi, esošas uzņēmējdarbības vietas jaudas palielināšanu, uzņēmējdarbības vietas produkcijas dažādošanu ar produktiem, kuri uzņēmējdarbības vietā iepriekš nav ražoti, vai būtiskām pārmaiņām esošas uzņēmējdarbības vietas kopējā ražošanas procesā. Ar mērķorientētu infrastruktūru saprot tādu infrastruktūru, kas atbilst regulas Nr. </w:t>
            </w:r>
            <w:r w:rsidR="00000000" w:rsidRPr="00000000" w:rsidDel="00000000">
              <w:rPr>
                <w:rtl w:val="0"/>
              </w:rPr>
              <w:t xml:space="preserve">651/2014</w:t>
            </w:r>
            <w:r w:rsidR="00000000" w:rsidRPr="00000000" w:rsidDel="00000000">
              <w:rPr>
                <w:rtl w:val="0"/>
              </w:rPr>
              <w:t xml:space="preserve"> 2. panta 33. punktā minētajai definīcijai;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49.4. 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50. punktā minētos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apakšpunktu, jo atsauce uz šo noteikumu 50.punktu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52.5. atbalstu var saņemt sadarbības partneris, kas ir komersants, kurš nodrošina šo noteikumu </w:t>
            </w:r>
            <w:r w:rsidR="00000000" w:rsidRPr="00000000" w:rsidDel="00000000">
              <w:rPr>
                <w:rtl w:val="0"/>
              </w:rPr>
              <w:t xml:space="preserve">9.</w:t>
            </w:r>
            <w:r w:rsidR="00000000" w:rsidRPr="00000000" w:rsidDel="00000000">
              <w:rPr>
                <w:rtl w:val="0"/>
              </w:rPr>
              <w:t xml:space="preserve"> punktā minētos rādītājus, ievērojot šo noteikumu </w:t>
            </w:r>
            <w:r w:rsidR="00000000" w:rsidRPr="00000000" w:rsidDel="00000000">
              <w:rPr>
                <w:rtl w:val="0"/>
              </w:rPr>
              <w:t xml:space="preserve">56.</w:t>
            </w:r>
            <w:r w:rsidR="00000000" w:rsidRPr="00000000" w:rsidDel="00000000">
              <w:rPr>
                <w:rtl w:val="0"/>
              </w:rPr>
              <w:t xml:space="preserve"> punktā minētos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51.8.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 punkta “a”  apakšpunkta izpratnē uz uzņēmējdarbības vietu, kurā tiks veikts sākotnējais ieguldījums, kuram pieprasīts atbalsts, un apņemas to nedarīt divus gadus pēc tam, kad ir pabeigts sākotnējais ieguldījums, kuram tiek pieprasīts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MK noteikumu projektā 43.punktā, un atkārtoti aicinām papildināt MK noteikumu projektu ar nosacījumu, kas izriet no regulas Nr.651/2014 14.panta 5.punkta (tas ir, pēc ieguldījuma pabeigšanas ieguldījums paliek attiecīgajā apgabalā vismaz 5 gadus vai MVU gadījumā vismaz 3 gadus. Tas neliedz aizstāt minētajā periodā novecojušās vai bojātās ražotnes vai aprīkojumu, ja vien konkrētā saimnieciskā darbība attiecīgajā apgabalā tiek turpināta vismaz minimālo periodu.). Attiecīgi lūdzam precizēt arī skaidrojumu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jaunu apakšpunktu pie nosacījumiem attiecībā uz regulas Nr. 651/2014 14.pantu.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49.8.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izpratnē uz uzņēmējdarbības vietu, kurā tiks veikts sākotnējais ieguldījums, kuram pieprasīts atbalsts, un apņemas to nedarīt divus gadus pēc tam, kad ir pabeigts sākotnējais ieguldījums, kuram tiek pieprasīts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šo noteikumu projekta punktu precizēt, papildinot ar nosacījumiem, kas izriet no regulas Nr. 651/2014 14.panta 5.punkta. Attiecīgi lūdzam precizēt arī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52.9. atbalsta saņēmējs apstiprina, ka tas pēdējo divu gadu laikā pirms pieteikšanās uz atbalstu nav veicis pārcelšanu regulas Nr. </w:t>
            </w:r>
            <w:r w:rsidR="00000000" w:rsidRPr="00000000" w:rsidDel="00000000">
              <w:rPr>
                <w:rtl w:val="0"/>
              </w:rPr>
              <w:t xml:space="preserve">651/2014</w:t>
            </w:r>
            <w:r w:rsidR="00000000" w:rsidRPr="00000000" w:rsidDel="00000000">
              <w:rPr>
                <w:rtl w:val="0"/>
              </w:rPr>
              <w:t xml:space="preserve"> 2. panta 61.a  punkta izpratnē uz uzņēmējdarbības vietu, kurā tiks veikts sākotnējais ieguldījums, kuram pieprasīts atbalsts, un apņemas to nedarīt divus gadus pēc tam, kad ir pabeigts sākotnējais ieguldījums, kuram tiek pieprasīts atbalsts. Ar pabeigtu sākotnējo ieguldījumu atbilstoši regulas Nr. </w:t>
            </w:r>
            <w:r w:rsidR="00000000" w:rsidRPr="00000000" w:rsidDel="00000000">
              <w:rPr>
                <w:rtl w:val="0"/>
              </w:rPr>
              <w:t xml:space="preserve">651/2014</w:t>
            </w:r>
            <w:r w:rsidR="00000000" w:rsidRPr="00000000" w:rsidDel="00000000">
              <w:rPr>
                <w:rtl w:val="0"/>
              </w:rPr>
              <w:t xml:space="preserve"> 2. panta 47.a punktam saprot brīdi, kad veikts projekta noslēguma maksājums;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maksimālā Eiropas Reģionālās attīstības fonda finansējuma atbalsta intensitāte Rīgas un Pierīgas statistiskajā  reģionā saskaņā ar 2021. gada 15. decembrī spēkā esošo NUTS 3. līmeņa klasifikāciju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44.punktā, un aicinām noteikumu projekta punktu papildināt tā, lai būtu viennozīmīgi skaidrs, ka Ogres novads, Limbažu novads, Saulkrastu novads un Tukuma novads piekrīt Pierīgas statistiskajam reģionam.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Komisijas regulas Nr.1059/2003 grozījumu spēkā stāšanās Pierīgas statistiskajam reģionam piekritīgās administratīvās vienības Limbažu novads, Ogres novads, Saulkrastu novads un Tukuma novads būs attiecīgi piekritīgi Vidzemes statistiskajam reģionam un Kurzemes statistiskajam reģionam, taču Latvijas Republikas reģionālā atbalsta karte – Ministru kabineta 2021. gada 2. novembra noteikumu Nr.729 “Noteikumi par reģionālās attīstības atbalstu Latvijas Republikā līdz 2027. gadam” (turpmāk MK noteikumi Nr.729) 5. punkts neparedz reģionālā atbalsta intensitātes palielināšanu par 10 % Pierīgas statistiskajam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atbalsta programmas, jāņem vērā, ka MK noteikumu Nr.729 5. un 6. punktu nepiemēro Limbažu novadam, Ogres novadam, Saulkrastu novadam un Tukuma novadam, tādēļ MK noteikumu projekts būtu papildināms ar punktu, kas nosaka, ka Administratīvām vienībām Limbažu novadā, Ogres novadā, Saulkrastu novadā un Tukuma novadā piemēro 30% intensitāti lielajiem komersantiem, 40% intensitāti vidējiem komersantiem vai 50% intensitāti mazajiem komersantiem (kā bāzes intensitāti).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visiem nosacījumiem, kas ir saistoši atbalsta saņēmējam, ir jābūt ietvertiem jau MK noteikumu projektā, un nosacījums par atbalsta intensitāti, tai skaitā par to, kāda intensitāte tiks piemērota katrā reģionā, ir ietverama noteikumu projektā, attiecīgi lūdzam precizēt MK noteikumu projekta 51.11.apakšpunktu.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 maksimālā Eiropas Reģionālās attīstības fonda finansējuma atbalsta intensitāte Rīgas un Pierīgas statistiskajā  reģionā saskaņā ar 2021. gada 15. decembrī spēkā esošo NUTS 3. līmeņa klasifikāciju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49.11. maksimālā Eiropas Reģionālās attīstības fonda finansējuma atbalsta intensitāte Rīgas un Pierīgas statistiskajā  reģionā saskaņā ar 2021. gada 15. decembrī spēkā esošo NUTS 3. līmeņa klasifikāciju ir šāda: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juridiskai noteiktībai šo noteikumu projekta punktu papildināt tā, lai būtu viennozīmīgi skaidrs, ka Ogres novads, Limbažu novads, Saulkrastu novads un Tukuma novads piekrīt Pierīgas statistiskajam reģionam.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attiecīgais skaidrojums ir ietverts MK noteikumu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52.13. maksimālā Eiropas Reģionālās attīstības fonda finansējuma atbalsta intensitāte Rīgas un Pierīgas statistiskajā  reģionā saskaņā ar 2021. gada 15. decembrī spēkā esošo NUTS 3. līmeņa klasifikāciju ir šāda: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45.punktā un atkārtoti lūdzam papildināt MK noteikumu projekta 52. punktu. Skaidrojam, ka atkarībā no tā, kādām vajadzībām atbalsts iekārtu, kas ražo enerģiju no atjaunojamiem energoresursiem, iegādei tiek sniegts, ir jāievēro attiecīgie komercdarbības atbalsta vai tā izslēdzošie nosacījumi. Proti, ja atbalsts tiek piešķirts saskaņā ar Komisijas regulas Nr.651/2014 41.pantu, attiecīgā Komisijas regulas Nr.651/2014 panta nosacījumu nebūtu attiecināmi uz publiski pieejamu infrastruktūru. Aicinām pārskatīt un precizēt noteikumu projektu, lai nodrošinātu korektu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skaidrojumu izziņas 34.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50.3. 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 vai ir noslēgusi pakalpojumu līgumu par sabiedrisko pakalpojumu 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35.1.8. apakšpunkta un, ja nepieciešams, attiecīgi precizēt noteikumu projekta 50. punkta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MK noteikumu redakcijas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atbalstu piešķir jaunām vai atjaunotām iekārtām. Atbalsts nav atkarīgs no ražošanas apjoma;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bažas, ka noteikumu projekta 50.4.apakšpunkts, iespējams, dublē noteikumu projekta 49.6.apakšpunktu.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50.4.apakšpunkts, iespējams, ir pretrunā noteikumu projekta 49.6.apakšpunktam, kas nosaka, ka iegādātajiem aktīviem jābūt jauniem, kas izlēdz iespēju atbalstīt atjaunotu iekārtu iegādi.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minēto, lūdzam izvērtēt nepieciešamību precizēt noteikumu 49.6.un 50.4.apakšpunktus.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51. punkts (Tieslietu ministrijas iebildumā norādītais 49. punkts) nosaka nosacījumus regulas Nr. 651/2014 14. panta piemērošanai par atbalsta piešķiršanu sākotnējiem ieguldījumiem, savukārt noteikumu projekta 52. punkts (Tieslietu ministrijas iebildumā norādītais 50. punkts)  nosaka nosacījumus regulas Nr. 651/2014 41. panta piemērošanai iekārtu iegādei un uzstādīšanai iekārtu iegādei un uzstādīšanai, kas ražo enerģiju no atjaunojamiem energoresursiem. Nosacījumi katrā no iepriekš minētajiem gadījumiem atbilst regulai Nr. 651/2014, par to piemērošanu ir sniegts skaidrojums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53.4. atbalstu piešķir jaunām vai atjaunotām iekārtām. Atbalsts nav atkarīgs no ražošanas apjoma;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53.1. atbalstu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Nr.651/2014 45.panta 2.punkts paredz atbalstu dažādām darbībām, lai nodrošinātu skaidru izpratni, tieši kurām atbalstāmajām darbībām MK noteikumu projekta ietvaros atbalsts ir paredzēts, lūdzam papildināt MK noteikumu projekta 53.1.apakšpunktu ar atsauci uz vienu vai vairākiem (ja attiecināms) 45.panta 2.punkta apakšpunktiem. Vēršam uzmanību, ka valsts atbalsta regulējumā ir noteiktas atšķirīgas maksimālās intensitātes darbībām šajos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atsaucēm uz regulas Nr.651/2014 45. panta 2.punkta “a” un “b” apakšpunktiem.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54.1. atbalstu saskaņā ar regulas Nr. </w:t>
            </w:r>
            <w:r w:rsidR="00000000" w:rsidRPr="00000000" w:rsidDel="00000000">
              <w:rPr>
                <w:rtl w:val="0"/>
              </w:rPr>
              <w:t xml:space="preserve">651/2014</w:t>
            </w:r>
            <w:r w:rsidR="00000000" w:rsidRPr="00000000" w:rsidDel="00000000">
              <w:rPr>
                <w:rtl w:val="0"/>
              </w:rPr>
              <w:t xml:space="preserve"> 45. panta 2. punkta "a" un "b" apakšpunktu piešķir šo noteikumu </w:t>
            </w:r>
            <w:r w:rsidR="00000000" w:rsidRPr="00000000" w:rsidDel="00000000">
              <w:rPr>
                <w:rtl w:val="0"/>
              </w:rPr>
              <w:t xml:space="preserve">36.6.</w:t>
            </w:r>
            <w:r w:rsidR="00000000" w:rsidRPr="00000000" w:rsidDel="00000000">
              <w:rPr>
                <w:rtl w:val="0"/>
              </w:rPr>
              <w:t xml:space="preserve"> apakšpunktā minētajām attiecināmajām remediācijas un sanācijas darbu izmaksām un šo noteikumu </w:t>
            </w:r>
            <w:r w:rsidR="00000000" w:rsidRPr="00000000" w:rsidDel="00000000">
              <w:rPr>
                <w:rtl w:val="0"/>
              </w:rPr>
              <w:t xml:space="preserve">36.9.2.</w:t>
            </w:r>
            <w:r w:rsidR="00000000" w:rsidRPr="00000000" w:rsidDel="00000000">
              <w:rPr>
                <w:rtl w:val="0"/>
              </w:rPr>
              <w:t xml:space="preserve"> apakšpunktā un </w:t>
            </w:r>
            <w:r w:rsidR="00000000" w:rsidRPr="00000000" w:rsidDel="00000000">
              <w:rPr>
                <w:rtl w:val="0"/>
              </w:rPr>
              <w:t xml:space="preserve">37.</w:t>
            </w:r>
            <w:r w:rsidR="00000000" w:rsidRPr="00000000" w:rsidDel="00000000">
              <w:rPr>
                <w:rtl w:val="0"/>
              </w:rPr>
              <w:t xml:space="preserve"> punktā minētajām ar remediācijas un sanācijas darbiem saistītajām attiecināmajām izmaksām;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53.2. atbalstu var saņemt šādi projektu iesniedzēji vai sadarbības partneri: pašvaldība, tās izveidota iestāde, speciālās ekonomiskās zonas pārvalde, pašvaldības kapitālsabiedrība, kas veic pašvaldības deleģēto pārvaldes uzdevumu izpildi, publiski privāta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Finanšu ministrijas izteikto iebildumu, kas ietverts izziņas 45.punktā un atkārtoti lūdzam papildināt MK noteikumu projekta 53. punktu. Skaidrojam, ka atkarībā no tā, kādām vajadzībām atbalsts iekārtu, kas ražo enerģiju no atjaunojamiem energoresursiem, iegādei tiek sniegts, ir jāievēro attiecīgie komercdarbības atbalsta vai tā izslēdzošie nosacījumi. Proti, ja atbalsts tiek piešķirts saskaņā ar Komisijas regulas Nr.651/2014 45.pantu, attiecīgā Komisijas regulas Nr.651/2014 panta nosacījumu nebūtu attiecināmi uz publiski pieejamu infrastruktūru. Aicinām pārskatīt un precizēt noteikumu projektu, lai nodrošinātu korektu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28.08.2023 sanāksmes laikā precizēts, ka iebildums attiecas uz AER atbalstu. Skat. skaidrojumu šīs izziņas 34.punktā par AER.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atbalstu var saņemt šādi projektu iesniedzēji vai sadarbības partneri: pašvaldība, tās izveidota iestāde, speciālās ekonomiskās zonas pārvalde, pašvaldības kapitālsabiedrība, kas veic pašvaldības deleģētos pārvaldes uzdevumus, publiski privātā kapitālsabiedrība;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var saņemt šādi projektu iesniedzēji vai sadarbības partneri: komersants, pašvaldība, tās izveidota iestāde, speciālās ekonomiskās zonas pārvalde, publiski privātā kapitālsabiedrība, pašvaldības kapitālsabiedrība, kas veic pašvaldības deleģēto pārvaldes uzdevumu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53.1.apakšpunkts nosaka, ka, ievērojot regulas Nr. 651/2014 41. panta nosacījumus, atbalstu piešķir ar atjaunojamās enerģijas ražošanu un uzkrāšanu saistītajām attiecināmajām izmaksām, kas nepieciešamas infrastruktūrai, kuru projekta ietvaros plāno attīstīt, piemērojot regulas Nr. 651/2014 56. panta nosacījumus. Savukārt, anotācijas sadaļas "Komercdarbības atbalsta  nosacījumi" 4) punktā skaidrots, ka regulas Nr.651/2014 56. panta “Ieguldījumu atbalsts vietējai infrastruktūrai”, atbalsts, kuru piemēro projekta darbībām, kas nav pielāgotas konkrēta komersanta vajadzībām, t.i. nav mērķorientēta infrastruktūra (piemēram, ēka, teritorija, satiksmes infrastruktūra, stāvlaukums, uzņēmējdarbības teritorijas iekšējais dzelzceļa tīkls, elektroenerģijas pieslēgums). Projekta īstenošanā komersantu neiesaista, bet projektā izveidoto infrastruktūru nodod komersantam nomā.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nav skaidrs, kādēļ kā atbalsta saņēmējs saskaņā ar regulas Nr. 651/2014 41. pantu minēts komersants. Lūdzam precizēt noteikumu projektu un iekļaut anotācijā skaidrojumu pie katra regulas Nr. 651/2014. panta konkrētos atbalsta saņēmējus.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var saņemt šādi projektu iesniedzēji vai sadarbības partneri: pašvaldība, tās izveidota iestāde, speciālās ekonomiskās zonas pārvalde, publiski privātā kapitālsabiedrība, pašvaldības kapitālsabiedrība, kas veic pašvaldības deleģētos pārvaldes uzdevumus;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53.3. atbalstu nesniedz tādu piesārņoto vietu remediācijai vai sanācijai, kurām ir iespējams noteikt piesārņojuma radītāju principa “piesārņotājs maksā” izpratnē;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Komisijas regulas Nr.651/2014 45.panta 5.punkts ir daudz plašāks, nekā šobrīd MK noteikumu projekta 53.3.apakšpunktā ir ietverts, lai nodrošinātu normas korektu pārņemšanu, aicinām MK noteikumu projekta 53.3.apakšpunkta redakciju papildināt ar atsauci uz konkrēto Komisijas regulas Nr.651/2014 45.panta 5.punktu. Papildus lūdzam MK noteikumu projektu papildināt arī ar nosacījumu, ka atbalsts netiks piešķirts Komisijas regulas Nr.651/2014 45.panta 3. un 4.punktā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papildināts ar atsauci uz regulas Nr.651/2014 45.panta 5.punktu, kā arī papildināts skaidrojums anotācijā 1.3.apakšadaļā “Remediācijas un sanācijas darbi”.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atsauci uz regulas Nr.651/2014 45.panta 3. un 4.punktu veikti papildinājumi MK noteikumu projektā. Izveidots jauns apakšpunkts MK noteikumu projektā pie nosacījumiem par regulas 651/2014 dažādiem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54.3. atbalstu nesniedz tādu piesārņoto vietu remediācijai vai sanācijai, kurām ir iespējams noteikt piesārņojuma radītāju principa "piesārņotājs maksā" izpratnē, ievērojot regulas Nr. </w:t>
            </w:r>
            <w:r w:rsidR="00000000" w:rsidRPr="00000000" w:rsidDel="00000000">
              <w:rPr>
                <w:rtl w:val="0"/>
              </w:rPr>
              <w:t xml:space="preserve">651/2014</w:t>
            </w:r>
            <w:r w:rsidR="00000000" w:rsidRPr="00000000" w:rsidDel="00000000">
              <w:rPr>
                <w:rtl w:val="0"/>
              </w:rPr>
              <w:t xml:space="preserve"> 45. panta 5. punkta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atbalstu var saņemt šādi projektu iesniedzēji: pašvaldība, tās izveidota iestāde, speciālās ekonomiskās zonas pārvalde, pašvaldības kapitālsabiedrība, kas veic pašvaldības deleģēto pārvaldes uzdevumu izpildi, publiski privāta kapitālsabiedrība;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 651/2014 2. panta 130) punktā minēta definīcija "energoinfrastruktūrai", kurai atbalstu var sniegt saskaņā ar regulas Nr. 651/2014 48.pantu, proti, šajā pasākumā atbalsta saņēmējs pirmšķietami attiecībā uz elektroapgādes infrastruktūru būs A/S Sadales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saskaņā ar atbildīgās nozares ministrijas – Ekonomikas ministrijas – skaidrojumu A/S "Sadales tīkls" ir dabiskais monopols, un tādā gadījumā uz atbalstu A/S "Sadales tīkls" komercdarbības atbalsta nosacījumi nav jāpiemēro, jo neizpildās tā pazīme par ietekmi uz tirdzniecību un konkurenci. Attiecīgi lūdzam izvērtēt noteikumos paredzētās energoinfrastruktūras piederību, un ņemot vērā skaidroto, precizēt šo noteikumu projekta punktu un papildināt anotāciju ar skaidrojumu. Attiecīgi aicinām precizēt noteikumu projekta 51.3. un 51.4.apakšpunktu.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papildinājumu anotācijā, 1.3.sadaļas apakšsadaļa   “Elektroenerģijas infrastruktūra”.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projekta iesniedzējs visus plānotos ieņēmumus (arī no projekta ietvaros izbūvētās infrastruktūras pārdošanas, ja tā tiek plānota projekta dzīves cikla laikā) atspoguļo finanšu iztrūkuma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jēdziena "projekta dzīves cikls" skaidrojumu.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jēdziena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 projekta iesniedzējs visus plānotos ieņēmumus (arī no projekta ietvaros izbūvētās infrastruktūras pārdošanas, ja tā tiek plānota projekta dzīves cikla laikā) atspoguļo finanšu iztrūkuma aprēķinā;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52.6. projekta iesniedzējs visus plānotos ieņēmumus (arī no projekta ietvaros izbūvētās infrastruktūras pārdošanas, ja tā tiek plānota projekta dzīves cikla laikā) atspoguļo finanšu iztrūkuma aprēķinā;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projektā tiek paredzēta iespēja projekta ietvaros izbūvēto infrastruktūru pārdot projekta dzīves cikla laikā un vai šāds regulējums nav pretrunā noteikumu projekta 49.5.punktam. Nepieciešamības gadījumā lūdzam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ja komercdarbības atbalstu sniedz saskaņā ar regulas Nr. 651/2014 56. pantu, sadarbības iestāde nodrošina projekta uzraudzību projekta dzīves ciklā. Skaidrojam, ka izmaksu un ieguvumu analīzi veic dzīves ciklam, kurš sākas ar projekta īstenošanas uzsākšanu. Dzīves cikls ir projekta ietvaros radīto pamatlīdzekļu lietderīgais kalpošanas laiks jeb projekta ekonomiski derīgais laika periods, kurā ir iespējams gūt finansiālu vai ekonomisku labumu no projektā ieguldītajiem līdzekļiem vai radītajiem aktīviem. Pārskata perioda ilgumu nosaka atsevišķi katrai aktivitātes īstenošanas kārtībai atbilstoši attiecīgās tautsaimniecības nozares specifikai (piemēram, dzelzceļa infrastruktūrai dzīves cikls ir 30 gadi). Minētais nosacījums nodrošina valsts atbalsta prasību ievērošanu par nepieciešamā valsts atbalsta piešķiršanu minimālā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55.6. projekta iesniedzējs visus plānotos ieņēmumus (arī no projekta ietvaros izbūvētās infrastruktūras pārdošanas, ja tā tiek plānota projekta dzīves cikla laikā) atspoguļo finanšu iztrūkuma aprēķinā;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pieciem gadiem no dienas, kad veikts projekta noslēguma maksājums finansējuma saņēmējam.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noteikumu projekta 39.1.apakšpunkta un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Regulas Nr. </w:t>
            </w:r>
            <w:r w:rsidR="00000000" w:rsidRPr="00000000" w:rsidDel="00000000">
              <w:rPr>
                <w:rtl w:val="0"/>
              </w:rPr>
              <w:t xml:space="preserve">651/2014</w:t>
            </w:r>
            <w:r w:rsidR="00000000" w:rsidRPr="00000000" w:rsidDel="00000000">
              <w:rPr>
                <w:rtl w:val="0"/>
              </w:rPr>
              <w:t xml:space="preserve"> 56. pantu piemēro projekta iesniedzējiem un sadarbības partneriem vietējās infrastruktūras izveidošanai tikai uz to īpašumā vai valdījumā esošas zemes, kura nav iznomāta vai nav piešķirta apbūves tiesība trešajai personai pirms projekta iesnieguma apstiprināšanas, ievērojot, ka valdījuma tiesības ir iegūtas uz termiņu, kas nav īsāks par projekta pārskata periodu. Šajā punktā minētās valdījumā nodotās zemes īpašnieks ir publiska persona.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58.5. 4. panta 1. punkta "x" un "cc"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šo noteikumu projekta apakšpunktu ar atsaucēm uz visiem nepieciešamiem regulas Nr. 651/2014 4. panta apakšpunktiem atbilstoši pasākumā plānotajam.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4. panta 1. punkta "a", "s" un "cc" apakšpunkta nosacījumi, ka individuālais atbalsts nepārsniedz šajos apakšpunktos noteiktās paziņošanas robežvērtības;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4. panta 1. punkta "u", "x" un "cc" apakšpunkta nosacījumi, ka individuālais atbalsts nepārsniedz šajos apakšpunktos noteiktās paziņošanas robežvērtības;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MK noteikumu projektā ir paredzēts sniegt atbalstu arī saskaņā ar Komisijas regulas Nr.651/2014 14.pantu (reģionālais ieguldījumu atbalsta mērķis), ir jāievēro arī šim atbalsta mērķim atbilstoša robežvērtība, līdz ar to aicinām papildināt MK noteikumu projekta 62.5.apakšpunktu. Vienlaikus vēršam uzmanību, ka Komisijas regulā Nr.651/2014 nav ietverts 4.panta 1. punkta “u” apakšpunkts, tādēļ aicinām pārskatīt un precizēt MK noteikumu projekta 62.5.apakšpunkta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 4. panta 1. punkta "a", "s" un "cc" apakšpunkta nosacījumi, ka individuālais atbalsts nepārsniedz šajos apakšpunktos noteiktās paziņošanas robežvērtības;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uzraudzība projekta dzīves ciklā ir jāveic arī gadījumos, kad </w:t>
            </w:r>
            <w:r w:rsidR="00000000" w:rsidRPr="00000000" w:rsidDel="00000000">
              <w:rPr>
                <w:rtl w:val="0"/>
              </w:rPr>
              <w:t xml:space="preserve">komercdarbības atbalstu sniedz saskaņā ar regulas Nr. 651/2014 48.pantu. Attiecīgi lūdzam precizēt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nesaskatām pamatojumu izvirzīt nosacījumu finansējuma saņēmējam projekta dzīves cikla beigās veikt pārrēķinu. Pārskatot regulas Nr.651/2014 48. panta grozījumu redakciju, secinām, ka grozījumi vairs neparedz līdzšinējo kārtību par atgūšanas mehānismu “claw-back mechanism”.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regulas Nr.651/2014 48.panta uzraudzības periodu, secinām, ka nav jāpiemēro uzraudzība visā garajā projekta pārskata periodā (10-15 gadi). Salīdzinot regulas Nr.651/2014 48.panta un 56.panta nosacījumus, secinām, ka uz šiem pantiem ir piemērojamas gan atšķirīgas attiecināmo izmaksu aprēķina metodes, gan atšķirīgi pārskata periodu termini. 48.panta gadījumā deficīta likmes aprēķina definīcijā ir norādīts termins “life time of the project”, savukārt 56.panta gadījumā “pamatdarbības peļņas” definīcijā ir norādīts termins “economic lifetime of the investment”.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regulas Nr.651/2014 48.panta gadījumā atgūšanas mehānisms nav jāpiemēro, secinām, ka 48.panta nosacījumi būtu izpildīti ar projektam pievienotajā izmaksu un ieguvumu analīzē veikto aprēķinu. Šajos aprēķinos izmanto Regulas Nr.480/2014 I. pielikumā norādītos pārskata periodus, uzņēmējdarbības infrastruktūras gadījumā tie ir 10-15 gadi. Savukārt projekta darbību uzraudzību, kurām piemērojami regulas Nr.651/2014 48.panta nosacījumi, CFLA veiktu 5 gadus, atbilstoši  ES fondu regulas  Nr.2021/1060 65.pantam par darbību ilglaicību.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MK noteikumu projekts netiek papildināts ar nosacījumu - elektroenerģijas infrastruktūras izmaksām, kurām atbalsts tiek piešķirts atbilstoši regulas Nr.651/2014 48.pantam, veikt uzraudzību visā projekta dzīves ciklā (10-15 gadu periodā).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komercdarbības atbalstu sniedz saskaņā ar regulas Nr. </w:t>
            </w:r>
            <w:r w:rsidR="00000000" w:rsidRPr="00000000" w:rsidDel="00000000">
              <w:rPr>
                <w:rtl w:val="0"/>
              </w:rPr>
              <w:t xml:space="preserve">651/2014</w:t>
            </w:r>
            <w:r w:rsidR="00000000" w:rsidRPr="00000000" w:rsidDel="00000000">
              <w:rPr>
                <w:rtl w:val="0"/>
              </w:rPr>
              <w:t xml:space="preserve"> 56. pantu, sadarbības iestāde nodrošina projekta uzraudzību projekta dzīves ciklā.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62.4.5. ūdenssaimniecības un siltumapgādes sabiedrisko pakalpojumu sniedzējam piešķirtās ekskluzīvās vai īpašās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kas pēc būtības atbilst FM iebildumā norādītajam, ka   pakalpojumu līgumā par ūdenssaimniecības un siltumapgādes sabiedrisko pakalpojumu sniegšanu nav jābūt lietotam terminam 'īpašas' vai 'ekskluzīvas' tiesības, bet līgumā jābūt ietvertai īpašo vai ekskluzīvo tiesību būtībai. Nelietojot līgumā terminu ekskluzīvās vai īpašās tiesības nebūs saprotams, kas tad īsti pakalpojumu sniedzējam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66.5.5. 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62.5.6. ūdenssaimniecības un siltumapgādes sabiedrisko pakalpojumu sniedzējam piešķirtās ekskluzīvās vai īpašās tiesības;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projekta apakšpunkta redakciju atbilstoši Komisijas lēmuma par Līguma par Eiropas Savienības darbību 106.panta 2.punkta piemērošanu valsts atbalstam attiecībā uz kompensāciju par sabiedriskajiem pakalpojumiem dažiem uzņēmumiem, kuriem uzticēts sniegt pakalpojumus ar vispārēju tautsaimniecisku nozīmi (2012/21/ES) 4.panta c) apakšpunktam. Vēršam uzmanību, ka līgumā nav jābūt lietotam terminam 'īpašas' vai 'ekskluzīvas' tiesības, bet līgumā jābūt ietvertai īpašo vai ekskluzīvo tiesību būtībai, kā to nosaka iepriekšminētā EK lēmuma 4.panta c)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 kas pēc būtības atbilst FM iebildumā norādītajam, ka   pakalpojumu līgumā par ūdenssaimniecības un siltumapgādes sabiedrisko pakalpojumu sniegšanu nav jābūt lietotam terminam 'īpašas' vai 'ekskluzīvas' tiesības, bet līgumā jābūt ietvertai īpašo vai ekskluzīvo tiesību būtībai. Nelietojot līgumā terminu ekskluzīvās vai īpašās tiesības nebūs saprotams, kas tad īsti pakalpojumu sniedzējam ir piešķirts.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66.6.6. ūdenssaimniecības un siltumapgādes sabiedrisko pakalpojumu sniedzējam piešķirto ekskluzīvo vai īpašo tiesību būtību, tai skaitā, norādot atbilstošo pašvaldības administratīvo teritoriju vai pašvaldības administratīvās teritorijas daļu un konkrētos sniedzamos ūdenssaimniecības un siltumapgādes sabiedriskos pakalpojumus;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arī VTNP atbalsta gadījumā atbalstu nedrīkst pieškirt grūtībās nonākušam uzņēmumas, kas atbilst kādai no Komisijas regulas Nr.651/2014 2.panta 18.punkta pazīmēm. Šī prasība izriet no Komisijas regulas Nr.2021/1058 (ERAF regula) 7.panta d) apakšpunkta. Līdz ar to aicinām 66.punktu papildināt ar apakšpunktu, kas izteikta,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"Ūdenssaimniecības un (vai) siltumapgādes sabiedrisko pakalpojumu sniedzējam kā grūtībās nonākušam uzņēmumam komercdarbības atbalsts netiek piešķirts, ja tas atbilst vismaz vienai no Komisijas 2014. gada 17. jūnija Regulas Nr. 651/2014, ar ko noteiktas atbalsta kategorijas atzīst par saderīgām ar iekšējo tirgu, piemērojot Līguma 107. un 108. pantu (Eiropas Savienības Oficiālais Vēstnesis, 2014. gada 26. jūnijs, Nr. L 187), 2. panta 18. punktā paredzētajām pazīmēm."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attiecīgais nosacījums jau ir ietverts MK noteikumu projekta apakšpunktā, proti, ka atbalsts netiek piešķirts grūtībās nonākušiem uzņēmumiem, tai skaitā grūtībās nonākušai pašvaldības kapitālsabiedrībai, kas ir noslēgusi pakalpojumu līgumu par sabiedrisko pakalpojumu sniegšanu, kas atbilst vismaz vienai no regulas Nr. 651/2014 2. panta 18. punktā paredzētajām situācijām.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Komercdarbības atbalstu sabiedriskajiem pakalpojumiem (ūdenssaimniecība un siltumapgāde) sniedz kā kompensāciju par sabiedriskajiem pakalpojumiem dažiem uzņēmumiem, kuriem uzticēts sniegt pakalpojumus ar vispārēju tautsaimniecisku nozīmi, ievērojot šādus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arī šajā punktā minētajā gadījumā būs atbalsta kumulācija, lūdzam pārskatīt šajā punktā minēto normu kontekstā ar šo noteikumu 42.punktā un 66.punktā minētajiem nosacījumiem. Ja nepieciešams, lūdzam precizēt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FM iebildumā norādītās MK noteikumu projekta normas ir izvērtētas, veikti atsevišķi precizējumi.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projekta 44.punktā ir paredzēts, ka projekta iesniegumu, kurā ir paredzēta komercdarbības atbalsta kumulācija (norādītas visas izmaksas un uz projekta sagatavošanu un atbalsta piešķiršanu ir skaidrība par piemērojamo komercdarbības atbalsta kontroles regulējumu) iesniedz sadarbības iestādē un pārējās iesaistītajās komercdarbības atbalsta piešķīrējinstitūcijās, nav skaidrs, kā MK noteikumu projekta 69.punkta nosacījums iekļaujas projektu izvērtēšanas procesā, tai skaitā, lai nodrošinātu, ka piemērojamā komercdarbības atbalsta kontroles regulējuma nosacījumi ir piemērojami uz atbalsta piešķiršanas brīdi, līdz ar to aicinām dzēst MK noteikumu projekta 69.punktu.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Skaidrojam, ka MK noteikumu projekta 44.punkts un 69.punkts paredz divus atšķirīgus projekta īstenošanas posmus, tajos ir iekļauti divi dažādi procesi, līdz ar to nevaram svītrot MK noteikumu projekta 69.punktu. MK noteikumu projekta 44.punkts attiecas uz projekta ieviešanas posmu, bet MK noteikumu projekta 69.punkts ir projekta iesnieguma vērtēšanas posms līdz projekta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w:t>
            </w:r>
            <w:r w:rsidR="00000000" w:rsidRPr="00000000" w:rsidDel="00000000">
              <w:rPr>
                <w:b w:val="1"/>
                <w:rtl w:val="0"/>
              </w:rPr>
              <w:t xml:space="preserve">69.punkts paredz</w:t>
            </w:r>
            <w:r w:rsidR="00000000" w:rsidRPr="00000000" w:rsidDel="00000000">
              <w:rPr>
                <w:rtl w:val="0"/>
              </w:rPr>
              <w:t xml:space="preserve"> nosacījumus VTNP un de minimis atbalstam pēc projekta apstiprināšanas - </w:t>
            </w:r>
            <w:r w:rsidR="00000000" w:rsidRPr="00000000" w:rsidDel="00000000">
              <w:rPr>
                <w:b w:val="1"/>
                <w:rtl w:val="0"/>
              </w:rPr>
              <w:t xml:space="preserve">“projekta īstenošanas laikā” </w:t>
            </w:r>
            <w:r w:rsidR="00000000" w:rsidRPr="00000000" w:rsidDel="00000000">
              <w:rPr>
                <w:rtl w:val="0"/>
              </w:rPr>
              <w:t xml:space="preserve">(t.i. pēc tam, kad jau ir noslēgta vienošanās par projekta īstenošanu, t.sk, kad jau ir arī pieņemts MK noteikumu projekta 71.punktā minētais </w:t>
            </w:r>
            <w:r w:rsidR="00000000" w:rsidRPr="00000000" w:rsidDel="00000000">
              <w:rPr>
                <w:b w:val="1"/>
                <w:rtl w:val="0"/>
              </w:rPr>
              <w:t xml:space="preserve">“lēmums par projekta iesnieguma apstiprināšanu vai ir izdots atzinums par lēmumā noteikto nosacījumu izpildi”</w:t>
            </w:r>
            <w:r w:rsidR="00000000" w:rsidRPr="00000000" w:rsidDel="00000000">
              <w:rPr>
                <w:rtl w:val="0"/>
              </w:rPr>
              <w:t xml:space="preserve"> situācijā, kad piemērota kumulācija).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VTNP un de minimis gadījumā nav jāpiemēro stimulējošās ietekmes nosacījumi, tad var rasties situācijas, ka projekta īstenošanas laikā projektā rodas līdzekļu ekonomija un de minimis un VTNP izmaksas, kuras kaut kādu iemeslu dēļ nebija iespējams iekļaut projektā līdz projekta apstiprināšanai, tiek iekļautas īstenošanā esošā projektā caur projekta grozījumiem, ievērojot MK noteikumu 69.punktu.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projektā precizēts </w:t>
            </w:r>
            <w:r w:rsidR="00000000" w:rsidRPr="00000000" w:rsidDel="00000000">
              <w:rPr>
                <w:b w:val="1"/>
                <w:rtl w:val="0"/>
              </w:rPr>
              <w:t xml:space="preserve">45.punkts</w:t>
            </w:r>
            <w:r w:rsidR="00000000" w:rsidRPr="00000000" w:rsidDel="00000000">
              <w:rPr>
                <w:rtl w:val="0"/>
              </w:rPr>
              <w:t xml:space="preserve">, kurš nosaka, ka izmaksas, kas nav iekļaujamas projekta attiecināmajās izmaksās, ir finansējamas ārpus projekta. Šis nosacījums </w:t>
            </w:r>
            <w:r w:rsidR="00000000" w:rsidRPr="00000000" w:rsidDel="00000000">
              <w:rPr>
                <w:b w:val="1"/>
                <w:rtl w:val="0"/>
              </w:rPr>
              <w:t xml:space="preserve">attiecas gan uz projektiem vērtēšanas stadijā, gan uz projektiem īstenošanas stadijā</w:t>
            </w:r>
            <w:r w:rsidR="00000000" w:rsidRPr="00000000" w:rsidDel="00000000">
              <w:rPr>
                <w:rtl w:val="0"/>
              </w:rPr>
              <w:t xml:space="preserve">. Nosacījums neizslēdz iespēju projekta vērtēšanas stadijā izmantot kumulāciju, šis punkts ir papildinošs kumulācijas nosacījumiem. Lai precīzāk paskaidrotu līdzekļu avotu ārpus projekta veiktajām izmaksām </w:t>
            </w:r>
            <w:r w:rsidR="00000000" w:rsidRPr="00000000" w:rsidDel="00000000">
              <w:rPr>
                <w:b w:val="1"/>
                <w:rtl w:val="0"/>
              </w:rPr>
              <w:t xml:space="preserve">gan uz projektiem vērtēšanas stadijā, gan uz projektiem īstenošanas stadijā</w:t>
            </w:r>
            <w:r w:rsidR="00000000" w:rsidRPr="00000000" w:rsidDel="00000000">
              <w:rPr>
                <w:rtl w:val="0"/>
              </w:rPr>
              <w:t xml:space="preserve"> MK noteikumu projekta 45.punktā ir norādīts, ka ārpus projekta finansējamās izmaksas, kuru finansēšana būtu kvalificējama kā komercdarbības atbalsts, finansējamas no līdzekļiem, kas ir brīvi no jebkāda komercdarbības atbalsta, ja nav iespējams piemērot šo noteikumu 66.punktā (VTNP)  un 67.punktā (de minimis) paredzēto atbalstu, tai skaitā projekta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papildu komercdarbības atbalsts ūdenssaimniecības un siltumapgādes sabiedrisko pakalpojumu sniedzējiem un</w:t>
            </w:r>
            <w:r w:rsidR="00000000" w:rsidRPr="00000000" w:rsidDel="00000000">
              <w:rPr>
                <w:i w:val="1"/>
                <w:rtl w:val="0"/>
              </w:rPr>
              <w:t xml:space="preserve"> de minimis</w:t>
            </w:r>
            <w:r w:rsidR="00000000" w:rsidRPr="00000000" w:rsidDel="00000000">
              <w:rPr>
                <w:rtl w:val="0"/>
              </w:rPr>
              <w:t xml:space="preserve"> atbalsts tiek piešķirts projekta īstenošanas laikā, par atbalsta piešķiršanas brīdi uzskata dienu, kad tiek parakstīti attiecīgie civiltiessiskā līguma vai vienošanās par projekta īstenošanu grozījumi.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71.7. nodrošina interešu konflikta neesību saskaņā ar Eiropas Parlamenta un Padomes 2018. gada 18. jūlija Regulas (ES, Euratom) Nr.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prasību, ka arī </w:t>
            </w:r>
            <w:r w:rsidR="00000000" w:rsidRPr="00000000" w:rsidDel="00000000">
              <w:rPr>
                <w:u w:val="single"/>
                <w:rtl w:val="0"/>
              </w:rPr>
              <w:t xml:space="preserve">sadarbības partneris</w:t>
            </w:r>
            <w:r w:rsidR="00000000" w:rsidRPr="00000000" w:rsidDel="00000000">
              <w:rPr>
                <w:rtl w:val="0"/>
              </w:rPr>
              <w:t xml:space="preserve"> paraksta interešu konflikta neesamības apliecinājumu. Vēršam uzmanību, ka finansējuma saņēmējam un sadarbības partnerim, cita starp jānodrošina, ka, īstenojot projektu, neiestājas interešu konflikts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76.7. un šo noteikumu </w:t>
            </w:r>
            <w:r w:rsidR="00000000" w:rsidRPr="00000000" w:rsidDel="00000000">
              <w:rPr>
                <w:rtl w:val="0"/>
              </w:rPr>
              <w:t xml:space="preserve">27.</w:t>
            </w:r>
            <w:r w:rsidR="00000000" w:rsidRPr="00000000" w:rsidDel="00000000">
              <w:rPr>
                <w:rtl w:val="0"/>
              </w:rPr>
              <w:t xml:space="preserve"> punktā minētais sadarbības partneris nodrošina interešu konflikta neesību saskaņā ar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kā arī paraksta interešu konflikta neesības apliecinājumu.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atbilstu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izvērstu pamatojumu šāda (50%) avansa  maksājuma apmēra nepieciešamībai. Vēršam uzmanību, ka atbilstoši Ministru kabineta 2023. gada 25. aprīļa noteikumiem nr. 205 "Valsts budžeta līdzekļu plānošanas kārtība Eiropas Savienības fondu projektu īstenošanai un maksājumu veikšanai 2021.–2027. gada plānošanas periodā" 10. punktam  maksimālais avansa apjoms nevar pārsniegt 30 % no projektam piešķirtā Eiropas Savienības fonda finansējuma.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Sadarbības iestāde, ja tai ir pieejami valsts budžeta līdzekļi, izvērtējot plānotā avansa apmēru, tā pamatojumu, pamatojoties uz finansējuma saņēmēja rakstisku avansa pieprasījumu, var piešķirt finansējuma saņēmējam avansu  pēc civiltiesiskā līguma vai vienošanās par projekta īstenošanu noslēgšanas. Finansējuma saņēmējs avansa pieprasījumu sagatavo un sadarbības iestāde apstiprina, ņemot vērā nosacījumu, ka plānotā avansa apmērs, tā pamatojums atbilstu  spējai to izlietot sešu mēnešu laikā saimnieciskā gada ietvaros (piemēram, projekta iesniedzējam ir pabeigts būvdarbu iepirkums vai noslēgts būvdarbu līgums). Finansējuma saņēmējam avansu var piešķirt līdz 50 procentiem no projektam piešķirtā Eiropas Reģionālās attīstības fonda finansējuma, ievērojot, ka avansu var izmaksāt vairākos maksājumos un avansa un starpposma maksājumu kopsumma nepārsniedz 90 procentus no projektam piešķirtā Eiropas Reģionālās attīstības fonda finansējuma apmēra.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gadā mēneša vidējā bruto darba samaksa valstī par pilnas slodzes darbu bija 1 373 eiro, liecina Centrālās statistikas pārvaldes (CSP) dati, un ja zināms ka vidējā bruto darba samaksa privātajā sektorā dažādos uzņēmējdarbības sektoros būtiski atšķiras,  lūgums skaidrot kā ir plānots noteikt vidējo algu projekta teritorijā.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par darba algu fonda rādītāja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paredz: Programmas rezultāta rādītāja “66 555 000 euro darba algu fonda pieaugums privātajos komersantos” sasniegšanā ir pieļaujama gan jaunu darbavietu radīšana, gan esošo darbavietu algu fonda palielināšana, paredzot, ka jaunu darbavietu radīšanas gadījumā nepieciešams radīt vismaz vidējo darba algu fondu, savukārt esošo darbavietu gadījumos nepieciešams palielināt darba algu fondu, proti, rādītāja izpildē tiks ieskaitīts gan jaunradīto darbavietu, gan esošo darbavietu darba samaksas pieaugums kumulatīvi – izmaksas, kas radušās komersantam.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uzstādījumu -vidējais darba algu fonds ar plašāku skaidrojumu kā precīzi ir jāveic šis aprēķins.  Tāpat nepieciešams plašāks skaidrojums MK noteikumos tieši par darba algu fonda pieauguma rādītāja būtību, lai pašvaldībām būtu skaidrs, kā to rēķināt.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par darba algu fonda rādītāja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minēt, kā tiks vērtēti projekti viena plānošanas reģiona ietvaros - respektīvi, kā tiks noteikta visu iesniegto projektu vērtēšana un kuras jomas/darbības tiks uzskaitītas par prioritāri atbalstāmajām.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projekti tiks vērtēti pēc ES fondu Uzraudzības komitejā apstiprinātajiem projektu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5.1.1.1. pasākuma projektu iesniegumu vērtēšanas kritēriji ar 02.08.2023 lēmumu Nr. L-2023/21-27/49 apstiprināti ES fondu Uzraudzības komitejas rakstiskajā procedūrā. Dokumenti pieejami ES fondu portfelī: </w:t>
            </w:r>
            <w:r w:rsidR="00000000" w:rsidRPr="00000000" w:rsidDel="00000000">
              <w:rPr>
                <w:i w:val="1"/>
                <w:rtl w:val="0"/>
              </w:rPr>
              <w:t xml:space="preserve">https://www.esfondi.lv/profesionaliem/uzraudzibas-komiteja/uk-e-portfelis-2021-2027/2023-07-18_uk_rakstiska_procedura_-izm_4213_lm_4365_4334_sm_3111_3113_varam_5111_vm_4121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1.3.sadaļā uzskaitīt visas projekta atbalstāmās darbības un norādīt arī šo darbību indikatīvo finansējumu.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atbalstāmās darbības norādītas MK noteikumu projekta 34. punktā, un VARAM ieskatā tās nav nepieciešams dublēt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Indikatīvais finansējums katrai atbalstāmajai darbībai būs zināms tikai pēc projektu iesniegšanas.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veiktos precizējumus, lūdzam pārskatīt arī anotācijas V sadaļā ietverto Tiesību akta projekta atbilstības izvērtējumu ES tiesību aktiem. Papildus vēršam uzmanību, ka anotācijas V sadaļā nav ietverts izvērtējums par Komisijas regulas Nr.651/2014 45.panta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punktu izvērtējumu ar visiem noteikumu punktiem atbilstoši Eiropas Komisijas 2014. gada 17. jūnija Regulai (ES) Nr. 651/2014, ar ko noteiktas atbalsta kategorijas atzīst par saderīgām ar iekšējo tirgu, piemērojot Līguma 107. un 108.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(RACA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Austrumu pierobežas, Latgales pašvaldības aicina noteikt īpašus specifiskos atbilstības kritērijus, nosakot šādus projekta minimālās rādītāju izpildes prasības: - 0.8 euro darba algas fonda pieaugumā privātajos komersantos iegulda ne vairāk kā 2 euro ERAF finansējuma; - nefinanšu investīciju apmērs nav mazāks par 50% no projekta ERAF finansējuma; ... / sasniedzamo rādītāju izpildei koriģēt prasības plānošanas reģionam ar visaugstāko IKP uz vienu iedzīvotāju/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2019. gada 26. novembra rīkojumam Nr. 587  “Reģionālās politikas pamatnostādnes 2021.-2027. gadam” (turpmāk – RPP) Latvijā ir trešās augstākās reģionālās attīstības atšķirības starp Ekonomiskās Sadarbības un Attīstības organizācijas (OECD) valstīm. Iekšzemes kopprodukts (turpmāk – IKP) uz vienu iedzīvotāju starp reģioniem atšķiras līdz pat 3 reizēm. Atšķirības veido atšķirīgs kapitālo ieguldījumu apmērs (līdzīgi kā IKP un pievienotā vērtība atšķiras vairāk kā divas reizes, augstākie rādītāji uz nodarbināto ir Pierīgā, bet zemākie – Latgalē).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RPP nozīmīgās atšķirības ekonomiskajā aktivitātē tiešā veidā ietekmē pašvaldību budžetu apjomus, jo pašvaldībās, kurās ir zemāka ekonomiskā aktivitāte (lielāks bezdarbs u.c.) un zemāka vidējā alga, ir mazāki nodokļu ieņēmumi. Savukārt jaunu darba vietu izveide palielina konkurenci starp darba devējiem, tādējādi veicinot vidējās algas un labklājības pieaugumu.  Ņemot vērā cilvēkresursu trūkumu reģionos, ir būtiski veidot tādus atbalsta instrumentus, kas tiešā veidā būtu mērķēti uz darba algu pieaugumu un cilvēkresursu piesaisti reģioniem. Līdz ar to, lai veicinātu reģionālās politikas mērķi, kas ir radīt priekšnosacījumus visu reģionu ekonomiskā potenciāla attīstībai un sociālekonomisko atšķirību mazināšanai reģionos, ir būtiski radīt un attīstīt tādas darbavietas, kur algu līmenis ir virs vidējā valstī, attiecīgi, pašvaldībām būtu jāizvērtē iespēja prioritāri  attīstīt tādas komersantu pieprasījumā balstītas uzņēmējdarbības teritorijas, kas veicina iepriekš minēto reģionālās politikas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un, kas izriet no reģionālās politikas mērķiem, tieši reģionos ar zemāku IKP uz vienu iedzīvotāju ir jo īpaši svarīgi, lai pret ieguldīto publisko finansējumu ir vēl lielāka atdeve, lai tuvinātos citiem reģioniem (t.sk., svarīgi, ka tiek ieguldīts projektos, kur komersanti varēs maksāt nevis minimālās algas, kas veicina iedzīvotāju aizplūšanu, bet algas virs vidējās, kas veicinātu nodarbinātības saglabāšanu un ekonomisko aktivitāti šajā reģionā, kas rezultēsies IKP pieaugumā).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izvērtēt rādītāju sasniegšanas laika periodu, kur kā piemērs tiek minēta iznomājama infrastruktūra, kas var būt gan rūpnieciska teritorija vai ražošanas ēka. Rādītājus uzņēmēju pusē varēs uzskaitīt no brīža, kad būs noslēgts nomas tiesību līgums pēc  pretendentu atlases caur atklātas izsoles procedūru. Procesā no valsts atbalsta viedokļa nevienam saimnieciskās darbības veicējam nebūs piešķirtas priviliģētas tiesības, kas nozīmē, ka rādītāju sasniegšanas laiks nebūs garāks par 3 gadiem. Vienlaicīgi ja atbalsta pasākums ir vērsts uz  vispārējas nozīmes mērķi, kas būs ceļu infrastruktūra (izaugsme, nodarbinātība, atbalsts MVU), tad mēs varam ieskaitīt rādītājus 2 gadus pirms projekta uzsākšanas un tas kopumā pagarina atskaites periodu līdz 5 gadiem.  Ņemot vērā ka dalībvalstis var izvēlēties, pamatojoties uz pieredzi, sev labāko risinājumu rezultātu sasniegšanā, lūgums izvērtēt šo divu scenāriju rādītāju laika rāmi.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ir paplašināts rādītāju ieskaites diapazons no 500 metriem nacionālas un reģionālas nozīmes attīstības centros (pilsētās) uz 1 500 metriem gan pilsētās, gan novadu teritorijā ārpus nacionālas un reģionālas nozīmes attīstības centriem, ja komersants pamato ārpus uzņēmējdarbības teritorijas radīto rādītāju sasaisti ar savu saimniecisko darbību, ko tas veic uzņēmējdarbības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pašvaldības izvērtēt  ēku būvniecību projektu ietvaros, ņemot vērā, ka ir nepieciešama to tālāka uzturēšana, kā arī var rasties sarežģījumi nomnieku izvēlē. Pasākuma mērķis nav ēku būvniecība, bet gan publiskās infrastruktūras izbūve. Vēršam uzmanību, ka ir iespējama kombinētu projektu īstenošana, kā arī, piemēram, tādu projektu īstenošana, kur pašvaldība attīsta tikai publisko infrastruktūru, savukārt komersants paralēli ārpus projekta attīsta savai saimnieciskajai darbībai nepieciešamo ēku, līdz ar to ražošanu uzsākot ātrāk (vienlaikus ar publiskās infrastruktūras izbūvi). Tādos gadījumos ir iespējama ātrāka ražošanas uzsākšana un garāks rādītāju ieskaites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Pasākumu īsteno līdz 2029. gada 31. decembrim, sasniedzot šādus programmas rezultāta rādītājus: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vairotu vienotu izpratni un novērstu interpretācijas iespēju, lūdzam sniegt skaidrojumu, vai projekti tiks savstarpēji salīdzināti pēc sadarbības partneru skaitu, t.i., priekšroka atlases ietvaros tiks dota projektiem ar lielāku sadarbības partneru skaitu vai arī pietiek, ka viens projekta sadarbības partneris nodrošina pilnīgu rādītāju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rezultāta rādītājs “komersanti, kas gūst labumu no attīstītās publiskās infrastruktūras (45 komersanti)” ir noteikts Eiropas Savienības kohēzijas politikas programmā 2021.–2027.gadam.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partneru skaitam nav izšķirošas nozīmes projektu atlases ietvaros  projektu iesniegumi tiks vērtēti pēc  kritērijiem, kas ar 02.08.2023 lēmumu Nr. L-2023/21-27/49 tika apstiprināti ES fondu Uzraudzības komitejas rakstiskajā procedūrā, dokumenti pieejami: </w:t>
            </w:r>
            <w:r w:rsidR="00000000" w:rsidRPr="00000000" w:rsidDel="00000000">
              <w:rPr>
                <w:i w:val="1"/>
                <w:rtl w:val="0"/>
              </w:rPr>
              <w:t xml:space="preserve">https://www.esfondi.lv/profesionaliem/uzraudzibas-komiteja/uk-e-portfelis-2021-2027/2023-07-18_uk_rakstiska_procedura_-izm_4213_lm_4365_4334_sm_3111_3113_varam_5111_vm_4121.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projektos, kuros rādītāju devēji ir vairāki komersanti, finansējuma saņēmējs var vadīt rādītāju nesasniegšanas riskus gadījumā, ja kādam no komersantiem projekta īstenošanas laikā mainās plānotā rādītāju izpilde. Proti, ja kāds no komersantiem nesasniedz plānotās rādītāju vērtības, bet cits komersants tās pārsniedz, tiks vērtēta rādītāju vērtību izpilde projektā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komersanti, kas gūst labumu no attīstītās publiskās infrastruktūras – vismaz 45 komersanti;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akta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Noteikumu projekta 11.2. apakšpunkta redakciju, aicinām to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9.3. apakšpunktā minētās privātās nefinanšu investīcijas vismaz vienas puses apmērā no piešķirtā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šādam sasniedzamam rādītājam ir saistīts ar to, ka, ja programmas ietvaros tiek izbūvēta ražošanas ēka, piesaistot piešķirtā Eiropas Reģionālās attīstības fonda finansējumu 4-5 miljonu eiro apmērā, saskaņā ar šī brīža noteikumu redakciju, nefinanšu investīcijas būtu jāpiesaista ne mazāk kā 2,7 – 3,4 miljoni eiro. Taču, izbūvējot ražošanas ēku, faktiski nomniekiem vienīgās investīcijas turpmāk būs nepieciešams veikt iekārtās un ar tām saistītās sistēmās (pamatlīdzekļos), kas pamatā nebūs mērāmas miljonos, bet gan no desmitiem tūkstoši līdz vairāki simti tūkstoši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uzsvērt, ka Latvijas valstij nav nekāda labuma no nefinanšu investīciju veikšanas ražošanas iekārtās, kas pamatā tiks iegādātas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piedāvājam samazināt nefinanšu investīciju apmēru līdz 50% no ERAF finansējuma (ieteicams izvērtēt pat līdz vienas trešdaļas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pasākumam Eiropas Savienības kohēzijas politikas programmā 2021.–2027. gadam ir noteikts rezultāta rādītājs “Privātās nefinanšu investīcijas nemateriālajos ieguldījumos un pamatlīdzekļos (88 740 000 </w:t>
            </w:r>
            <w:r w:rsidR="00000000" w:rsidRPr="00000000" w:rsidDel="00000000">
              <w:rPr>
                <w:i w:val="1"/>
                <w:rtl w:val="0"/>
              </w:rPr>
              <w:t xml:space="preserve">euro</w:t>
            </w:r>
            <w:r w:rsidR="00000000" w:rsidRPr="00000000" w:rsidDel="00000000">
              <w:rPr>
                <w:rtl w:val="0"/>
              </w:rPr>
              <w:t xml:space="preserve">)”. Ņemot vērā, ka pasākumam plānotais ERAF finansējums ir 133,11 milj. </w:t>
            </w:r>
            <w:r w:rsidR="00000000" w:rsidRPr="00000000" w:rsidDel="00000000">
              <w:rPr>
                <w:i w:val="1"/>
                <w:rtl w:val="0"/>
              </w:rPr>
              <w:t xml:space="preserve">euro</w:t>
            </w:r>
            <w:r w:rsidR="00000000" w:rsidRPr="00000000" w:rsidDel="00000000">
              <w:rPr>
                <w:rtl w:val="0"/>
              </w:rPr>
              <w:t xml:space="preserve">, projektos ir jāpiesaista privātās nefinanšu investīcijas vismaz 2/3 apmērā no projektam piešķirtā ERAF finansējuma, lai pasākuma ietvaros nodrošinātu Eiropas Savienības kohēzijas politikas programmā 2021.–2027.gadam noteiktā rezultāta rādītāja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rādītājs balstās uz sākotnēji RPP noteiktajiem kopējiem rādītājiem reģionālās attīstības atšķirību mazināšanai, t.sk. kopumā uzņēmējdarbības infrastruktūrai plānojot finansējumu 400 milj. </w:t>
            </w:r>
            <w:r w:rsidR="00000000" w:rsidRPr="00000000" w:rsidDel="00000000">
              <w:rPr>
                <w:i w:val="1"/>
                <w:rtl w:val="0"/>
              </w:rPr>
              <w:t xml:space="preserve">euro </w:t>
            </w:r>
            <w:r w:rsidR="00000000" w:rsidRPr="00000000" w:rsidDel="00000000">
              <w:rPr>
                <w:rtl w:val="0"/>
              </w:rPr>
              <w:t xml:space="preserve">apmērā, iepriekš minētais rādītājs tika plānots 270 milj.</w:t>
            </w:r>
            <w:r w:rsidR="00000000" w:rsidRPr="00000000" w:rsidDel="00000000">
              <w:rPr>
                <w:i w:val="1"/>
                <w:rtl w:val="0"/>
              </w:rPr>
              <w:t xml:space="preserve">euro</w:t>
            </w:r>
            <w:r w:rsidR="00000000" w:rsidRPr="00000000" w:rsidDel="00000000">
              <w:rPr>
                <w:rtl w:val="0"/>
              </w:rPr>
              <w:t xml:space="preserve">, kas atbilst 2/3 no plānotā finansējuma apmēra. Ņemot vērā, ka Nacionālā attīstības plāna 2021.-2027. gadam (turpmāk – NAP) sākotnēji RPP plānotais finansējums netika atbalstīts pilnā apmērā, plānotais sasniedzamo nefinanšu investīciju apjoms samazināts proporcionāli NAP pasākumam paredzētajam finansējuma apjomam, attiecīgi 88 740 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pašvaldības projektos attīstīt tādas uzņēmējdarbības teritorijas, no kurām būtu sagaidāma vislielākā rādītāju atdeve un kurās ir vairāki komersanti, kas plāno sasniegt  rādītājus, ievērojot ierobežoto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nefinanšu investīcijas ražošanas iekārtās un produktu attīstībā ir priekšnoteikums uzņēmumu konkurētspējai un to ražoto produktu vai pakalpojumu eksportspējai.  Savukārt uzņēmumu konkurētspēja nodrošina priekšnoteikumus nodarbināto konkurētspējīgam atalgojumam, t.sk., ilgtermiņā pozitīvi ietekmējot iedzīvotāju ienākuma nodokli un to ieņēmumus pašvaldībās.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saspringto ES fondu ieviešanas plānu un to ka patreiz nepieciešams izvērtēt visas iespējas kā paātrināt ES fondu projektu uzsākšanu, LPS no savas puses saskaņo MK noteikumu tālāku virzību.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informējam, ka esam saņēmuši Ventspils valstspilsētas pašvaldības iebildumu, kur pašvaldība 11.2. apakšpunkta redakciju, aicina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9.3. apakšpunktā minētās privātās nefinanšu investīcijas vismaz vienas puses apmērā no piešķirtā Eiropas Reģionālās attīstības fonda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šādam sasniedzamam rādītājam ir saistīts ar to, ka, ja programmas ietvaros tiek izbūvēta ražošanas ēka, piesaistot piešķirtā Eiropas Reģionālās attīstības fonda finansējumu 4-5 miljonu eiro apmērā, saskaņā ar šī brīža noteikumu redakciju, nefinanšu investīcijas būtu jāpiesaista ne mazāk kā 2,7 – 3,4 miljoni eiro. Taču, izbūvējot ražošanas ēku, faktiski nomniekiem vienīgās investīcijas turpmāk būs nepieciešams veikt iekārtās un ar tām saistītās sistēmās (pamatlīdzekļos), kas pamatā nebūs mērāmas miljonos, bet gan no desmitiem tūkstoši līdz vairāki simti tūkstoši eiro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uzsvērt, ka Latvijas valstij nav nekāda labuma no nefinanšu investīciju veikšanas ražošanas iekārtās, kas pamatā tiks iegādātas ārvalstīs.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piedāvājam samazināt nefinanšu investīciju apmēru līdz 50% no ERAF finansējuma (ieteicams izvērtēt pat līdz vienas trešdaļas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izziņas 83.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piesaista šo noteikumu </w:t>
            </w:r>
            <w:r w:rsidR="00000000" w:rsidRPr="00000000" w:rsidDel="00000000">
              <w:rPr>
                <w:rtl w:val="0"/>
              </w:rPr>
              <w:t xml:space="preserve">9.3.</w:t>
            </w:r>
            <w:r w:rsidR="00000000" w:rsidRPr="00000000" w:rsidDel="00000000">
              <w:rPr>
                <w:rtl w:val="0"/>
              </w:rPr>
              <w:t xml:space="preserve"> apakšpunktā minētās privātās nefinanšu investīcijas vismaz divu trešdaļu apmērā no piešķirtā Eiropas Reģionālās attīstības fonda finansējuma.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jau iepriekš izteikto priekšlikumu un lūdzam sadaļu papildināt ar finansējuma sadales principiem statistisko reģionu ietvaros un projektu ranžēšanas kārtību. Sniegtais skaidrojums, ka </w:t>
            </w:r>
            <w:r w:rsidR="00000000" w:rsidRPr="00000000" w:rsidDel="00000000">
              <w:rPr>
                <w:i w:val="1"/>
                <w:rtl w:val="0"/>
              </w:rPr>
              <w:t xml:space="preserve">“Projektu ranžēšanas kārtība tiks iekļauta atlases nolikumā. Projektu iesniegumu vērtēšanas kritēriju piemērošanas metodikā jau ir norādīta šāda informācija:“Projektu iesniegumu vērtēšanas rezultātā tiek veidots projektu saraksts, kuros iesniegtie projekti sakārtoti secībā no efektīvākā (ar lielāko kopējā koeficienta vērtību) līdz vismazāk efektīvajam (ar mazāko kopējā koeficienta vērtību) projektam.Ja kopējie kopvērtējuma koeficienti ir vienādi, priekšroku dod projektam, kurā plānots lielāks darba algu fonda pieaugums pret ieguldīto Eiropas Reģionālās attīstības fonda finansējumu; Ja projektos ir vienāda plānotā darba algu fonda pieauguma attiecība pret Eiropas Reģionālās attīstības fonda finansējumu, tad priekšroku dod projektam, kurā plānots lielāks privāto nefinanšu investīciju pašu nemateriālajos ieguldījumos un pamatlīdzekļos apjoms pret ieguldīto Eiropas Reģionālās attīstības fonda finansējumu.”</w:t>
            </w:r>
            <w:r w:rsidR="00000000" w:rsidRPr="00000000" w:rsidDel="00000000">
              <w:rPr>
                <w:rtl w:val="0"/>
              </w:rPr>
              <w:t xml:space="preserve"> nenodrošina atbildi uz priekšlikumā norādīto. Skaidrojam, ka APIA ietvaros, lai izvairītos no interpretācijām,  jādefinē kopējie atlases finansējuma sadales, pārdales principi pa reģioniem MKN līmenī. Neskaidri finansējuma sadales principi kārtas ietvaros rada augstu apstrīdējumu risku.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(skat. izziņas 82.punktu).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priekšlikumā paustajam viedoklim, ka, lai izvairītos no interpretācijām,  jādefinē kopējie atlases finansējuma sadales, pārdales principi pa reģioniem. Vienlaikus nevaram piekrist prasībai, ka detalizēti kopējie atlases finansējuma sadales, pārdales principi pa reģioniem jāiekļauj MK noteikumu projektā. Ņemot vērā CFLA pieredzi atlašu veikšanā jau daudzu gadu garumā, aicinām visus jautājumus attiecībā uz finansējuma sadales principiem iekļaut atlases nolikumā, tādejādi nodrošinot vienoto pieeju atlases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Pārskatot 2023.gada 30.maija Finanšu ministrijas vadlīnijas Nr.1.4. “Vadlīnijas Ministru kabineta noteikumu par specifiskā atbalsta mērķa īstenošanu izstrādei Eiropas Savienības fondu 2021.—2027. gada plānošanas periodā” (1.variants), nesaskatām obligātu prasību MK noteikumu projektā iekļaut  projektu atlasē piemērojamos finansējuma sadales principus un projektu ranžēšanas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2023.gada 13.jūlija MK noteikumu Nr.408 “Kārtība, kādā Eiropas Savienības fondu vadībā iesaistītās institūcijas nodrošina šo fondu ieviešanu 2021.–2027. gada plānošanas periodā” 14.punktā ir norādīts, ka tieši atlases nolikums ir dokuments, kurā norāda projektu iesniegumu vērtēšanas kārtību un lēmumu pieņemšanas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ES fondu 2021.—2027. gada plānošanas perioda vadības likuma 20.panta 6.daļā ir norādīts, ka sadarbības iestādes lēmums par projektu iesniegumu atlases nolikuma apstiprināšanu nav apstrīdams, kas nozīmē, ka atlases nolikumā ietvertie nosacījumi, t.sk. projektu atlasē piemērojamie finansējuma sadales principi un projektu ranžēšanas kārtība ir saistoša visām projektu iesniegumu vērtēšanā iesaistītajām pusēm.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sadaļu papildināt ar finansējuma sadales principiem statistisko reģionu ietvaros un projektu ranžēšanas kārtību.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ranžēšanas kārtība tiks iekļauta atlases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kritēriju piemērošanas metodikā jau ir norādīta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vērtēšanas rezultātā tiek veidots projektu saraksts, kuros iesniegtie projekti sakārtoti secībā no efektīvākā (ar lielāko kopējā koeficienta vērtību) līdz vismazāk efektīvajam (ar mazāko kopējā koeficienta vērtību) projektam.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kopējie kopvērtējuma koeficienti ir vienādi, priekšroku dod projektam, kurā plānots lielāks darba algu fonda pieaugums pret ieguldīto Eiropas Reģionālās attīstības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projektos ir vienāda plānotā darba algu fonda pieauguma attiecība pret Eiropas Reģionālās attīstības fonda finansējumu, tad priekšroku dod projektam, kurā plānots lielāks privāto nefinanšu investīciju pašu nemateriālajos ieguldījumos un pamatlīdzekļos apjoms pret ieguldīto Eiropas Reģionālās attīstības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Pasākumam pieejamais finansējums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65 940 867 </w:t>
            </w:r>
            <w:r w:rsidR="00000000" w:rsidRPr="00000000" w:rsidDel="00000000">
              <w:rPr>
                <w:i w:val="1"/>
                <w:rtl w:val="0"/>
              </w:rPr>
              <w:t xml:space="preserve">euro</w:t>
            </w:r>
            <w:r w:rsidR="00000000" w:rsidRPr="00000000" w:rsidDel="00000000">
              <w:rPr>
                <w:rtl w:val="0"/>
              </w:rPr>
              <w:t xml:space="preserve"> un nacionālais finansējums – ne mazāks kā 11 636 624 </w:t>
            </w:r>
            <w:r w:rsidR="00000000" w:rsidRPr="00000000" w:rsidDel="00000000">
              <w:rPr>
                <w:i w:val="1"/>
                <w:rtl w:val="0"/>
              </w:rPr>
              <w:t xml:space="preserve">euro</w:t>
            </w:r>
            <w:r w:rsidR="00000000" w:rsidRPr="00000000" w:rsidDel="00000000">
              <w:rPr>
                <w:rtl w:val="0"/>
              </w:rPr>
              <w:t xml:space="preserve">,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14.2.1. - 14.2.5. apakšpunktā katram plānošanas reģionam pieejamā ERAF finansējuma kopsumma ir 65 940 866, kas par 1 eiro atšķiras no 14.2.apakšpunktā norādītā ERAF finansējuma 65 940 867, lūdzam precizēt finansējumu 14.2.apakšpunktā un anotācijas 1.3. sadaļā "Pašreizējā situācija, problēmas un risinājumi"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otrās atlases kārtas ietvaros pieejamais finansējums ir ne mazāks kā 77 577 491 </w:t>
            </w:r>
            <w:r w:rsidR="00000000" w:rsidRPr="00000000" w:rsidDel="00000000">
              <w:rPr>
                <w:i w:val="1"/>
                <w:rtl w:val="0"/>
              </w:rPr>
              <w:t xml:space="preserve">euro</w:t>
            </w:r>
            <w:r w:rsidR="00000000" w:rsidRPr="00000000" w:rsidDel="00000000">
              <w:rPr>
                <w:rtl w:val="0"/>
              </w:rPr>
              <w:t xml:space="preserve">, tai skaitā Eiropas Reģionālās attīstības fonda finansējums – 65 940 867 </w:t>
            </w:r>
            <w:r w:rsidR="00000000" w:rsidRPr="00000000" w:rsidDel="00000000">
              <w:rPr>
                <w:i w:val="1"/>
                <w:rtl w:val="0"/>
              </w:rPr>
              <w:t xml:space="preserve">euro</w:t>
            </w:r>
            <w:r w:rsidR="00000000" w:rsidRPr="00000000" w:rsidDel="00000000">
              <w:rPr>
                <w:rtl w:val="0"/>
              </w:rPr>
              <w:t xml:space="preserve"> un nacionālais līdzfinansējums – ne mazāks kā 11 636 624 </w:t>
            </w:r>
            <w:r w:rsidR="00000000" w:rsidRPr="00000000" w:rsidDel="00000000">
              <w:rPr>
                <w:i w:val="1"/>
                <w:rtl w:val="0"/>
              </w:rPr>
              <w:t xml:space="preserve">euro</w:t>
            </w:r>
            <w:r w:rsidR="00000000" w:rsidRPr="00000000" w:rsidDel="00000000">
              <w:rPr>
                <w:rtl w:val="0"/>
              </w:rPr>
              <w:t xml:space="preserve">, tai skaitā: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anotācijā informāciju par atlašu organizatorisko pusi, t.i., atlases nolikuma izstrādes uzsākšanas laiku, lai ta būtu nepārprotami skaidrs arī trešām pusēm. Lūdzam skatīt piemēru iespējamai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informācijas saņemšanas par VARAM pieņemto lēmumu pirmās kārtas ietvaros par atbalstāmo projektu sarakstu, sadarbības iestāde nodrošina atlases procesa nodrošināšanai nepieciešamās aktivitātes un sagatavo dokumentāciju viena mēneša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Sadarbības iestāde izsludina pirmo atlases kārtu, nosūtot uzaicinājumu plānošanas reģionu attīstības programmās paredzēto projektu iesniedzējiem iesniegt projektu iesniegumus ierobežotai projektu iesniegumu atlasei.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31. decembrim sadarbības iestādē netiek iesniegti plānošanas reģionu attīstības programmās paredzētie projekti par visu pirmās atlases kārtas ietvaros pieejamo Eiropas Reģionālā attīstības fonda finansējumu, finansējuma atlikumu novirza otrajai atlases kārtai attiecīgajam plānošanas reģionam, kuram pieejamais Eiropas Reģionālā attīstības fonda finansējums pirmajā atlases kārtā netika piesaistīs.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ir saņēmusi Rīgas pilsētas pašvaldības iebildumu, kur ņemot vērā, ka SAMP 5.1.1.1. mērķis un atbalstāmās darbības pārklājas ar Programmas 6.1.1.3. pasākuma „Atbalsts uzņēmējdarbībai nepieciešamās publiskās infrastruktūras attīstībai, veicinot pāreju uz klimatneitrālu ekonomiku” (turpmāk – 6.1.1.3. pasākums) un Atveseļošanas un noturības mehānisma plāna (turpmāk – AF plāns) 3.1.1.3.i. investīcijas “Investīcijas uzņēmējdarbības publiskajā infrastruktūrā industriālo parku un teritoriju attīstīšanai reģionos” (turpmāk – 3.1.1.3.i. investīcija) mērķiem un atbalstāmajām darbībām, tikai 6.1.1.3. pasākuma un 3.1.1.3.i. investīcijas atbalstāmajā teritorijā nav iekļauta Rīgas reģions, aicinām VARAM izvērtēt iespēju, ka SAMP 5.1.1.1. 1.kārtas un 2.kārtas atlikumus, kas radušies  reģionos, kas nav Rīgas reģions, novirzīt Rīgas plānošanas reģiona un tās pašvaldības projektiem. Vēršam uzmanību, ka 6.1.1.3.pasākumā un 3.1.1.3.i investīciju kopumā Latgales, Vidzemes, Zemgales un Kurzemes plānošanas reģionu pašvaldību projektiem tiek novirzītas ES investīcijas vairāk kā 137 milj. euro un netiek izvirzīts tik “stingrs” sasniedzamais radītājs kā darba algu fonda palielinājums, kas dod šo plānošanas periodu pašvaldībām attīstīt stratēģiski nozīmīgākus un finansiāli apjomīgākus infrastruktūras projektus kā Rīgas plānošanas reģionam.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plānošanas reģionam noteikt minimālo pieejamo ERAF finansējumu ERAF maksimālās likmes apmērā 5 milj. euro, kas noteikts MK noteikumu 23.punktā.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ES kohēzijas politikas programmas Latvijai 2021. - 2027.gadam   pasākuma 3. atlases kārta ir paredzēts atklāts konkurss, kur visu pašvaldību projekti konkurēs savā starpā, tādejādi nodrošinot vienlīdzīgu sacensību par projekta iesnieguma apstiprināšanu un ES fonda finansējuma piešķiršanu, atbalstot efektīvākos projektus,  vienlaikus veicinot investīciju ātrāku nonākšanu tautsaimniecībā (pasākuma 3. atlases kārtas īstenošanai būs īsāks termiņš, jo elastības finansējuma piešķiršanas gadījumā tas būs pieejams no 2026. gada) un ES fondu apguvi, ņemot vērā, ka tiks apstiprināti augstas gatavības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Ja līdz 2024. gada 30. decembrim sadarbības iestādē netiek iesniegti plānošanas reģionu attīstības programmās paredzētie projekti par visu pirmās atlases kārtas ietvaros pieejamo Eiropas Reģionālās attīstības fonda finansējumu, finansējuma atlikumu novirza otrajai atlases kārtai attiecīgajam plānošanas reģionam, kuram pieejamais Eiropas Reģionālās attīstības fonda finansējums pirmajā atlases kārtā netika piesaistīs.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 2025. gada 31. decembrim neizmantoto otrās atlases kārtas Eiropas Reģionālā attīstības fonda finansējumu un finansējumu, kas atbrīvojies pirmās un otrās atlases kārtas projektu īstenošanas rezultātā, novirza trešajai atlases kārtai.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papidlināt anotāciju ar informāciju, vai gadījumā, ja nebūs pieejams elastības finansējums, trešo atlases kārtu plānots izsludināt no neizmantotā finansējuma un finansējuma, kas atbrīvojies pirmās un otrās atlases kārtas projektu īstenošanas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 Skaidrojam, ka gadījumā, ja netiks piešķirts elastības finansējums, tiks izvērtēta faktiskā situācija par pieejamiem atlikumiem, ja tādi būs radušies no neizmantotā finansējuma un finansējuma, kas atbrīvojies 1. un 2. atlases kārtas projektu īstenošanas rezultātā (nosacījumi par finansējuma atlikumiem noteikti MK noteikumu projekta 19. un 20. punktā), pieņemot attiecīgu lēmumu.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Līdz 2025. gada 30. decembrim (ieskaitot) neizmantoto otrās atlases kārtas Eiropas Reģionālās attīstības fonda finansējumu un finansējumu, kas atbrīvojies pirmās un otrās atlases kārtas projektu īstenošanas rezultātā, novirza trešajai atlases kārtai.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slēdzot rakstisku sadarbības līgumu, var piesaistīt šādus sadarbības partnerus, ja to iesaiste ir pamatota un nepieciešama projekta mērķu sasniegšanai: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LLPA saskaņo tiesību aktu.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par Ventspils valstspilsētas pašvaldības viedokli.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Izziņas par Noteikumu projektu 18. un 19. punktā norādīts, ka biedrību un nodibinājumu iesaiste kā projektu sadarbības partneriem, kas īstenos projekta darbības, ir neskaidra.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biedrību un nodibinājumu iesaiste projektu realizācijā būs atšķirīga katrā konkrētajā projektā, tomēr kopumā iesaiste ir nepieciešama un paredzama atbalstāmajās darbībās, kas norādītas Noteikuma projekta 34.3., 34.7. un 34.8. apakšpunktā. Mūsu partneru – nevalstisko organizāciju – līdzšinējā pieredze uzņēmējdarbības publiskās infrastruktūras  projektos liecina, ka pašvaldības, pašvaldību iestādes, kapitālsabiedrības pilda šos uzdevumus efektīvāk sadarbībā ar vietējiem partneriem no nevalstiskā sektora.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pašvaldībās komercdarbības veicināšanā un attīstībā nozīmīgu ieguldījumu sniedz biedrības un nodibinājumi, kas dibināti ar mērķi veicināt uzņēmējdarbību pašvaldībās, tādēļ rosinām papildināt Noteikumu projekta 27. 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“27.6. nevalstiskās organizācijas (biedrības un nodibinājumi), kuras ir izveidotas ar mērķi veicināt uzņēmējdarbību pašvaldībā.”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5.1.1.1.pasākuma ietvaros ERAF finansējums ir koncentrēts uz infrastruktūras būvniecību, savukārt administratīvās izmaksas un publicitātes pasākumi projektā ir papildinošs elements un veido tikai nelielu daļu no projekta izmaksām.  ERAF  finansējums arī Kurzemes reģionam  21,3  milj. EUR apmērā ir ierobežots apjoms uzņēmējdarbības mērķiem paredzēto ielu, ēku un laukumu būvniecībai.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ir norādīts, ka biedrības un nodibinājumi tiktu iesaistīti ēku infrastruktūras izbūves darbībās, publicitātes un projekta vadības nodrošināšanā. Iepazīstoties, piemēram, ar Ventspils Augsto tehnoloģiju parka deleģēšanas līgumu secinām, ka būvdarbu organizēšana neietilpst tam deleģētajās funkcijās. Savukārt, publicitātes pasākumi projektos plānoti, piemēram, stendu uzstādīšanai, kas var būt iekļauta arī kā atsevišķa izmaksu pozīcija būvdarbu līgumā.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Pozitīvi novērtējam, ka pašvaldības meklē risinājumus uzņēmējdarbības vides attīstībai, kas nav tikai infrastruktūra, bet arī komunikācija ar komersantiem, tomēr norādām, ka 5.1.1.1.pasākuma mērķu sasniegšanai uzsvars ir uz būvniecības darbībām un infrastruktūras būvniecību atbilstoši komersantu pieprasījumam.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Projekta iesniedzējs, slēdzot rakstisku sadarbības līgumu, var iesaistīt šādus sadarbības partnerus, ja to iesaiste ir pamatota un nepieciešama projekta mērķu sasniegšanai: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sadarbību ar komersantu kā sadarbības partneri (ja attiecināms) nostiprina ar  sadarbības līgumu (atbilstoši normatīvajiem aktiem par kārtību, kādā Eiropas Savienības struktūrfondu un Kohēzijas fonda vadībā iesaistītās institūcijas nodrošina plānošanas dokumentu sagatavošanu un šo fondu ieviešanu 2021.–2027. gada plānošanas periodā), tajā iekļaujot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 projektā paredzēts arī sadarbības partneris, MK noteikumos norāda finansējuma saņēmēja un sadarbības partnera sadarbības pamatprincipus, pienākumus un tiesības, mērķu un rādītāju savstarpējo sasniegšanas dalījumu. Ņemot vērā minēto, lūdzam papildināt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Vienlaikus ietvertais regulējums nedublē Ministru kabineta noteikumu "Kārtība, kādā Eiropas Savienības fondu vadībā iesaistītās institūcijas nodrošina šo fondu ieviešanu 2021.–2027.gada plānošanas periodā" (šobrīd saskaņošanas stadijā) 6.punktu, kas nosaka pamatinformāciju, kas jāiekļauj finansējuma saņēmēja un sadarbības partnera sadarbības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Projekta iesniedzējs sadarbību ar komersantu kā sadarbības partneri (ja attiecināms) nostiprina ar  sadarbības līgumu (atbilstoši normatīvajiem aktiem par kārtību, kādā Eiropas Savienības struktūrfondu un Kohēzijas fonda vadībā iesaistītās institūcijas nodrošina plānošanas dokumentu sagatavošanu un šo fondu ieviešanu 2021.–2027. gada plānošanas periodā), tajā iekļaujot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punkta redakcijā atsauci uz normatīvo aktu. Vēršam uzmanību, ka nosacījumi par sadarbības līgumu un tajā ietveramo informāciju ir noteikti MK noteikumos "Kārtība, kādā Eiropas Savienības fondu vadībā iesaistītās institūcijas nodrošina šo fondu ieviešanu 2021.–2027.gada plānošanas periodā" ('šobrīd izstrādes stadijā).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Projekta iesniedzējs sadarbību ar komersantu kā sadarbības partneri (ja attiecināms) nostiprina ar  sadarbības līgumu (atbilstoši normatīvajiem aktiem par kārtību, kādā Eiropas Savienības fondu vadībā iesaistītās institūcijas nodrošina šo fondu ieviešanu 2021.–2027. gada plānošanas periodā). Sadarbības līgumā papildus iekļauj arī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atlīdzības izmaksām, kas radušās uz darba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noteikumu projekta 35.punktā un tālāk tekstā "projekta vadības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noteikumu projekta 35.punktu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netiešās attiecināmās izmaksas plāno kā vienu izmaksu pozīciju, piemērojot netiešo izmaksu vienoto likmi 15 procentu apmērā no šo noteikumu 36.10. apakšpunktā minētajām projekta vadības personāla izmaksām, kas radušās uz darba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precizētās redakcijas.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noteikumu projekta 36.10.apakšpunkta minētajām uzņēmuma (pakalpojuma) līguma izmaksām netiek aprēķināta noteikumu projekta 35.punktā minētā netiešo izmaksu vienotā likme. Līdz ar to lūdzam izvērtēt un attiecīgi precizēt noteikumu projekta 35.punkta vai 36.10.apakšpunkta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MK noteikumu projekta punktu par projekta netiešajām attiecināmajām izmaksām. (5.1.1.1.pasākuma ietvaros tiek izmantoti tie paši principi un nosacījumi, kas jau saskaņoti 6.1.1.3.pasākuma (TA-23-460)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ir finansējuma saņēmēja projekta vadības personāla izmaksas, kuras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VI vadlīniju Nr. 1.1. "Vadlīnijas par vienkāršoto izmaksu izmantošanas iespējām un to piemērošana Eiropas Savienības kohēzijas politikas programmas 2021.–2027.gadam ietvaros" 29.punktu, netiešās attiecināmās izmaksas ir projekta attiecināmās izmaksas, kas nav tieši saistītas ar projekta rezultātu sasniegšanu, bet atbalsta un nodrošina atbilstošus apstākļus projekta veicamo darbību realizācijai un projekta rezultātu sasniegšanai. Tās ir, piemēram, finansējuma saņēmēja projekta vadības un projekta īstenošanas personāla administratīvās izmaksas, kas paredzētas iestādes ikdienas darbības nodrošināšanai – izmaksas, kuras nepieciešamas, lai organizācija varētu darboties un kuras nav tieši saistītas ar projekta īstenošanu, piemēram, telpu īre un iekārtu izmantošanas izmaksas, kancelejas preces, komunālie un sakaru maksājumi, iestādes vadības un atbalsta struktūrvienību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minēto, lūdzam pārskatīt MK noteikumu projekta 35.punkta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projekta punkts par projekta netiešajām attiecināmajām izmaksām, paredzot, ka netiešās attiecināmās izmaksas nepiemēro tādām  projekta vadības personāla atlīdzības izmaksām, kas veiktas uz uzņēmuma (pakalpojuma) līguma pamata.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Projekta netiešās attiecināmās izmaksas plāno kā vienu izmaksu pozīciju, piemērojot netiešo izmaksu vienoto likmi 15 procentu apmērā no šo noteikumu </w:t>
            </w:r>
            <w:r w:rsidR="00000000" w:rsidRPr="00000000" w:rsidDel="00000000">
              <w:rPr>
                <w:rtl w:val="0"/>
              </w:rPr>
              <w:t xml:space="preserve">36.10.</w:t>
            </w:r>
            <w:r w:rsidR="00000000" w:rsidRPr="00000000" w:rsidDel="00000000">
              <w:rPr>
                <w:rtl w:val="0"/>
              </w:rPr>
              <w:t xml:space="preserve"> apakšpunktā minētajām projekta vadības personāla izmaksām, kas radušās uz darba līguma pamata.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Pasākuma ietvaros netiek atbalstītas mazās arhitektūras formas ar māksliniecisko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apgaismojuma sistēma ietver arī elektrotīklu izbūvi vai pārbūvi, lūdzam papildināt punkta redakciju, norādot arī elektrotīklu izbūvi vai pārbūvi.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35.1.4. atpūtas zonu ierīkošana darbiniekiem un labiekārtojuma elementu uzstādīšana  (videi un personām ar dažādiem funkcionāliem traucējumiem draudzīga apgaismojuma sistēmas izbūve vai esošās apgaismojuma sistēmas renovācija, soliņi un galdi lietošanai ārtelpā, atkritumu tvertnes, velosipēdu novietnes, žogi), vājstrāvu tīklu izbūve vai esošo vājstrāvu tīklu pārbūve, kas nepieciešama ārtelpas atpūtas zonas ierīkošanai un drošības veicināšanai projekta ietvaros attīstītajā ārtelpas atpūtas zonā, tai skaitā videonovērošanas kameras, kas izvietotas ārtelpas atpūtas zonā </w:t>
            </w:r>
            <w:r w:rsidR="00000000" w:rsidRPr="00000000" w:rsidDel="00000000">
              <w:rPr>
                <w:b w:val="1"/>
                <w:rtl w:val="0"/>
              </w:rPr>
              <w:t xml:space="preserve">un elektrotīklu izbūve vai esošo elektrotīklu pārbūve, kas nepieciešama ārtelpas atpūtas zonas apgaismojuma ierīkošanai.</w:t>
            </w:r>
            <w:r w:rsidR="00000000" w:rsidRPr="00000000" w:rsidDel="00000000">
              <w:rPr>
                <w:rtl w:val="0"/>
              </w:rPr>
              <w:t xml:space="preserve"> Pasākuma ietvaros netiek atbalstītas mazās arhitektūras formas ar māksliniecisko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36.1.4. atpūtas zonu ierīkošana darbiniekiem un labiekārtojuma elementu uzstādīšana  (videi draudzīgas un personām ar dažādiem funkcionāliem traucējumiem atbilstošas apgaismojuma sistēmas izbūve vai esošās apgaismojuma sistēmas renovācija, tai skaitā apgaismojuma sistēmai nepieciešamā elektrotīklu izbūve vai pārbūve; soliņi un galdi lietošanai ārtelpā, atkritumu tvertnes, velosipēdu novietnes, žogi), vājstrāvu tīklu izbūve vai esošo vājstrāvu tīklu pārbūve, kas nepieciešama ārtelpas atpūtas zonas ierīkošanai un drošības veicināšanai projekta ietvaros attīstītajā uzņēmējdarbības teritorijā, tai skaitā videonovērošanas kameru iegāde un uzstādīšana. Projektā netiek atbalstītas vizuālās mākslas vai dizaina objektu iegādes vai uzstādīšanas izmaksas;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35.8.1.1. būvprojekta, būvdarbu ieceres dokumentācijas, būvprojekta minimālā sastāvā, apliecinājuma kartes vai paskaidrojuma raksta izstrāde visām projektā paredzētajām darbībām;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būvniecības regulējumā, lūdzam pievienot paziņojumu par būvniecību kā vienu no ieceres veidiem. Kā arī būvdarbu ieceres dokumentus pārdēvēt par būvniecības ieceres dokumentiem, kā tas ir būvniecības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35.8.1.1. būvprojekta, </w:t>
            </w:r>
            <w:r w:rsidR="00000000" w:rsidRPr="00000000" w:rsidDel="00000000">
              <w:rPr>
                <w:b w:val="1"/>
                <w:rtl w:val="0"/>
              </w:rPr>
              <w:t xml:space="preserve">būvniecības</w:t>
            </w:r>
            <w:r w:rsidR="00000000" w:rsidRPr="00000000" w:rsidDel="00000000">
              <w:rPr>
                <w:rtl w:val="0"/>
              </w:rPr>
              <w:t xml:space="preserve"> ieceres dokumentācijas, būvprojekta minimālā sastāvā, apliecinājuma kartes, paskaidrojuma raksta vai </w:t>
            </w:r>
            <w:r w:rsidR="00000000" w:rsidRPr="00000000" w:rsidDel="00000000">
              <w:rPr>
                <w:b w:val="1"/>
                <w:rtl w:val="0"/>
              </w:rPr>
              <w:t xml:space="preserve">pazīņojuma par būvniecību </w:t>
            </w:r>
            <w:r w:rsidR="00000000" w:rsidRPr="00000000" w:rsidDel="00000000">
              <w:rPr>
                <w:rtl w:val="0"/>
              </w:rPr>
              <w:t xml:space="preserve">izstrāde visām projektā paredzētajām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36.9.1.1. būvprojekta, būvniecības ieceres dokumentācijas, būvprojekta minimālā sastāvā, apliecinājuma kartes vai paskaidrojuma raksta vai paziņojuma par būvniecību izstrāde visām projektā paredzētajām darbībām;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35.8.1.2. energoaudita, ekspertīzes un izpētes izmaksas, ja to veikšana ir priekšnosacījums, lai izstrādātu būvprojektu, būvdarbu ieceres dokumentāciju vai būvprojektu minimālā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būvdarbu ieceres dokumentus pārdēvēt par būvniecības ieceres dokumentiem, kā tas ir būvniecības regulējumā.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35.8.1.2. energoaudita, ekspertīzes un izpētes izmaksas, ja to veikšana ir priekšnosacījums, lai izstrādātu būvprojektu, </w:t>
            </w:r>
            <w:r w:rsidR="00000000" w:rsidRPr="00000000" w:rsidDel="00000000">
              <w:rPr>
                <w:b w:val="1"/>
                <w:rtl w:val="0"/>
              </w:rPr>
              <w:t xml:space="preserve">būvniecības</w:t>
            </w:r>
            <w:r w:rsidR="00000000" w:rsidRPr="00000000" w:rsidDel="00000000">
              <w:rPr>
                <w:rtl w:val="0"/>
              </w:rPr>
              <w:t xml:space="preserve"> ieceres dokumentāciju vai būvprojektu minimālā sastāvā;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36.9.1.2. energosertifikācijas, energoaudita, ekspertīzes un izpētes izmaksas, ja to veikšana ir priekšnosacījums, lai izstrādātu būvprojektu, būvniecības ieceres dokumentāciju vai būvprojektu minimālā sastāvā;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w:t>
            </w:r>
            <w:r w:rsidR="00000000" w:rsidRPr="00000000" w:rsidDel="00000000">
              <w:rPr>
                <w:rtl w:val="0"/>
              </w:rPr>
              <w:t xml:space="preserve">36.8.</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eWIKI Eiropas Komisijas 2023.04.13. sniegtajai atbildei Horvātijai, “projekta atpazīstamības veicināšanas izmaksas” neatbilst Komisijas regulas Nr. 651/2014 2. panta 29. un 30. punkta materiālo un nemateriālo izmaksu definīcijām. Attiecīgi šīs izmaksas nevar būt attiecināmas ar Komisijas regulas Nr. 651/2014 14. un 56. pantu, ar kuriem ir paredzēts komercdarbības atbalsts 5.1.1.1. pasākumā. Līdz ar to aicinām precizēt noteikumu projektu, lai novērstu minēto neprecizitāti un noteikumu projekta 52.2.apakšpunktā svītrot atsauci uz noteikumu projekta 36.8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publicēšanas prasības, ciktāl to mērķis ir atzīt ES finansējuma izcelsmi un nodrošināt tā redzamību, Eiropas Komisijas ieskatā, nav komercdarbības atbalsts, jo dalībvalstij ir pienākums bez jebkādas rīcības brīvības nodrošināt “informāciju, saziņu un publicitāti” saskaņā ar ES tiesību aktiem (atbilstoši Eiropas Parlamenta un Padomes regulas 2021/241, ar ko izveido Atveseļošanas un noturības mehānismu 34.pantam). Ar atbilstošu skaidrojumu lūdzam papildināt arī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arī noteikumu projekta 55.2.apakšpunktu.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52.2. šo noteikumu </w:t>
            </w:r>
            <w:r w:rsidR="00000000" w:rsidRPr="00000000" w:rsidDel="00000000">
              <w:rPr>
                <w:rtl w:val="0"/>
              </w:rPr>
              <w:t xml:space="preserve">36.1.1.</w:t>
            </w:r>
            <w:r w:rsidR="00000000" w:rsidRPr="00000000" w:rsidDel="00000000">
              <w:rPr>
                <w:rtl w:val="0"/>
              </w:rPr>
              <w:t xml:space="preserve">,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36.5.</w:t>
            </w:r>
            <w:r w:rsidR="00000000" w:rsidRPr="00000000" w:rsidDel="00000000">
              <w:rPr>
                <w:rtl w:val="0"/>
              </w:rPr>
              <w:t xml:space="preserve">, </w:t>
            </w:r>
            <w:r w:rsidR="00000000" w:rsidRPr="00000000" w:rsidDel="00000000">
              <w:rPr>
                <w:rtl w:val="0"/>
              </w:rPr>
              <w:t xml:space="preserve">36.7.</w:t>
            </w:r>
            <w:r w:rsidR="00000000" w:rsidRPr="00000000" w:rsidDel="00000000">
              <w:rPr>
                <w:rtl w:val="0"/>
              </w:rPr>
              <w:t xml:space="preserve"> un </w:t>
            </w:r>
            <w:r w:rsidR="00000000" w:rsidRPr="00000000" w:rsidDel="00000000">
              <w:rPr>
                <w:rtl w:val="0"/>
              </w:rPr>
              <w:t xml:space="preserve">36.9.2.</w:t>
            </w:r>
            <w:r w:rsidR="00000000" w:rsidRPr="00000000" w:rsidDel="00000000">
              <w:rPr>
                <w:rtl w:val="0"/>
              </w:rPr>
              <w:t xml:space="preserve"> apakšpunktā minētās izmaksas (piemēram, būvju nojaukšana, elektroenerģijas pieslēguma izbūve, teritorijas attīrīšana, autoruzraudzība, būvuzraudzība, arheoloģiskā uzraudzība, nodošana ekspluatācijā) un šo noteikumu </w:t>
            </w:r>
            <w:r w:rsidR="00000000" w:rsidRPr="00000000" w:rsidDel="00000000">
              <w:rPr>
                <w:rtl w:val="0"/>
              </w:rPr>
              <w:t xml:space="preserve">36.10.</w:t>
            </w:r>
            <w:r w:rsidR="00000000" w:rsidRPr="00000000" w:rsidDel="00000000">
              <w:rPr>
                <w:rtl w:val="0"/>
              </w:rPr>
              <w:t xml:space="preserve"> apakšpunktā minētās projekta iesniedzēja izmaksas, ir attiecināmas, ja tās veido projekta ietvaros radīto pamatlīdzekļu vērtību;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Komercdarbības atbalsta piešķiršanas brīdis ir diena, kad tiek pieņemts sadarbības iestādes lēmums par projekta iesnieguma apstiprināšanu vai izdots atzinums par lēmumā noteikto nosacījumu izpildi, ja iepriekš ir bijis pieņemts lēmums par projekta iesnieguma apstiprināšanu ar nosacījumu.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izslēdzot piebildi </w:t>
            </w:r>
            <w:r w:rsidR="00000000" w:rsidRPr="00000000" w:rsidDel="00000000">
              <w:rPr>
                <w:i w:val="1"/>
                <w:rtl w:val="0"/>
              </w:rPr>
              <w:t xml:space="preserve">“ja iepriekš ir bijis pieņemts lēmums par projekta iesnieguma apstiprināšanu ar nosacījumu”</w:t>
            </w:r>
            <w:r w:rsidR="00000000" w:rsidRPr="00000000" w:rsidDel="00000000">
              <w:rPr>
                <w:rtl w:val="0"/>
              </w:rPr>
              <w:t xml:space="preserve">, jo atzinums par nosacījumu izpildi var tikt pieņemts arī tad, ja ir noraidīts, izskatīts apstrīdēšanas procesa ietvaros un FM LD ir atzinusi, ka lēmums nav bijis korekts un tiek atcelts, attiecīgi projekts ir jāapstiprina.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Komercdarbības atbalsta piešķiršanas brīdis ir diena, kad tiek pieņemts sadarbības iestādes lēmums par projekta iesnieguma apstiprināšanu vai izdots atzinums par lēmumā noteikto nosacījumu izpildi.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arī VTNP atbalstu nedrīkst piešķirt komersantiem, kuri atbilst grūtībās nonākuša uzņēmuma pazīmēm, ko nosaka atbilstoši Komisijas regulas Nr.651/2014 2.panta 18.punkta nosacījumiem, lūdzam izteikt 62.punktu tādā redakcijā, lai arī uz VTNP atbalstu varētu attiecināt 62.4.apakšpunktā izteikto nosacījumu. Gadījumā, ja to nav iespējams izdarīt, tad lūdzam MKN paredzēt atsevišķu punktu, kurā noteikts, ka uz VTNP atbalstu nedrīkst pretendēt grūtībās nonākuši uzņēmumi.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MKN projekta 62. un 66.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Komercdarbības atbalstu saskaņā ar regulu Nr. </w:t>
            </w:r>
            <w:r w:rsidR="00000000" w:rsidRPr="00000000" w:rsidDel="00000000">
              <w:rPr>
                <w:rtl w:val="0"/>
              </w:rPr>
              <w:t xml:space="preserve">651/2014</w:t>
            </w:r>
            <w:r w:rsidR="00000000" w:rsidRPr="00000000" w:rsidDel="00000000">
              <w:rPr>
                <w:rtl w:val="0"/>
              </w:rPr>
              <w:t xml:space="preserve"> projekta iesniedzējam un sadarbības partnerim piešķir, ja ievēroti arī visi šādi regulas Nr. </w:t>
            </w:r>
            <w:r w:rsidR="00000000" w:rsidRPr="00000000" w:rsidDel="00000000">
              <w:rPr>
                <w:rtl w:val="0"/>
              </w:rPr>
              <w:t xml:space="preserve">651/2014</w:t>
            </w:r>
            <w:r w:rsidR="00000000" w:rsidRPr="00000000" w:rsidDel="00000000">
              <w:rPr>
                <w:rtl w:val="0"/>
              </w:rPr>
              <w:t xml:space="preserv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66.5. ja sadarbības partneris ir pašvaldības iestāde, kas ir ūdenssaimniecības un siltumapgādes sabiedrisko pakalpojumu sniedzējs, tad pašvaldība izdod saistošos noteikumus par ūdenssaimniecības un siltumapgādes sabiedrisko pakalpojumu sniegšanu. Pašvaldības saistošajos noteikumos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pilnvarojumu izdot pašvaldības saistošos noteikumus noformulēt atbilstoši juridiskās tehnikas prasībām (sk. Ministru kabineta 2009. gada 3. februāra noteikumu Nr. 108 "Normatīvo aktu projektu sagatavošanas noteikumi" 127. punktu) un aizpildīt anotācijas 4. sadaļu. Nepieciešamības gadījumā aicinām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kas atbilst Ministru kabineta 2009. gada 3. februāra noteikumu Nr. 108 "Normatīvo aktu projektu sagatavošanas noteikumi"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anotācijas 4. sadaļu, skaidrojam, ka tajā norāda tiesību aktu projektus, kuru izstrādāšanai paredzēts pilnvarojums projektā, kā arī skaidro to nepieciešamību un būtību. MK noteikumu projektā minēto pašvaldības saistošo noteikumu izdošanas nepieciešamība un saturs izriet no komercdarbības atbalsta regulējuma – it īpaši no Eiropas Komisijas 2011. gada 20. decembra lēmuma Nr. 2012/21/ES </w:t>
            </w:r>
            <w:r w:rsidR="00000000" w:rsidRPr="00000000" w:rsidDel="00000000">
              <w:rPr>
                <w:i w:val="1"/>
                <w:rtl w:val="0"/>
              </w:rPr>
              <w:t xml:space="preserve">par Līguma par Eiropas Savienības darbību 106. panta 2. punkta piemērošanu valsts atbalstam attiecībā uz kompensāciju par sabiedriskajiem pakalpojumiem dažiem uzņēmumiem, kuriem uzticēts sniegt pakalpojumus ar vispārēju tautsaimniecisku nozīmi</w:t>
            </w:r>
            <w:r w:rsidR="00000000" w:rsidRPr="00000000" w:rsidDel="00000000">
              <w:rPr>
                <w:rtl w:val="0"/>
              </w:rPr>
              <w:t xml:space="preserve"> 4.panta: https://eur-lex.europa.eu/legal-content/LV/TXT/PDF/?uri=CELEX:32012D0021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66.6. ja sadarbības partneris ir pašvaldības iestāde, kas ir ūdenssaimniecības un siltumapgādes sabiedrisko pakalpojumu sniedzējs, tad pašvaldības dome izdod saistošos noteikumus, kuros noteikta ūdenssaimniecības un siltumapgādes sabiedrisko pakalpojumu sniegšanas kārtība. Pašvaldības saistošajos noteikumos norāda: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w:t>
            </w:r>
            <w:r w:rsidR="00000000" w:rsidRPr="00000000" w:rsidDel="00000000">
              <w:rPr>
                <w:i w:val="1"/>
                <w:rtl w:val="0"/>
              </w:rPr>
              <w:t xml:space="preserve">de minimis</w:t>
            </w:r>
            <w:r w:rsidR="00000000" w:rsidRPr="00000000" w:rsidDel="00000000">
              <w:rPr>
                <w:rtl w:val="0"/>
              </w:rPr>
              <w:t xml:space="preserve"> atbalsts triju fiskālo gadu periodā nepārsniedz 200 000 euro vienam vienotam uzņēmumam;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ietvert atsauci uz regulas Nr. 1407/2013 pantu un punktu, kurā noteikts normā minētais de minimis slieksnis.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67.1. </w:t>
            </w:r>
            <w:r w:rsidR="00000000" w:rsidRPr="00000000" w:rsidDel="00000000">
              <w:rPr>
                <w:i w:val="1"/>
                <w:rtl w:val="0"/>
              </w:rPr>
              <w:t xml:space="preserve">de minimis </w:t>
            </w:r>
            <w:r w:rsidR="00000000" w:rsidRPr="00000000" w:rsidDel="00000000">
              <w:rPr>
                <w:rtl w:val="0"/>
              </w:rPr>
              <w:t xml:space="preserve">atbalsts triju fiskālo gadu periodā nepārsniedz regulas Nr. </w:t>
            </w:r>
            <w:r w:rsidR="00000000" w:rsidRPr="00000000" w:rsidDel="00000000">
              <w:rPr>
                <w:rtl w:val="0"/>
              </w:rPr>
              <w:t xml:space="preserve">1407/2013</w:t>
            </w:r>
            <w:r w:rsidR="00000000" w:rsidRPr="00000000" w:rsidDel="00000000">
              <w:rPr>
                <w:rtl w:val="0"/>
              </w:rPr>
              <w:t xml:space="preserve"> 3. panta 2. punktā minēto robežlielumu vienam vienotam uzņēmumam;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informē sadarbības iestādi par ikgadējo enerģijas patēriņu (megavatstundas) trīs gadus pēc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apakšpunktu ar nosacījumu informācijas sniegšanai atbilstoši noteikumu 32.1.apakšpunktam.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 informē sadarbības iestādi par ikgadējo enerģijas patēriņu (megavatstundas) trīs gadus pēc projekta īstenošanas, ja projektā paredzētas šādas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71.5.1. šo noteikumu 35.1.4. un 35.3.2. apakšpunktā minētās esošās apgaismojuma sistēmas renovācijas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71.5.2. šo noteikumu 35.4.1. apakšpunktā minētās ēku pārbūves vai atjaunošanas izmaksas.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76.5. informē sadarbības iestādi par ikgadējo enerģijas patēriņu (megavatstundas) par šo noteikumu </w:t>
            </w:r>
            <w:r w:rsidR="00000000" w:rsidRPr="00000000" w:rsidDel="00000000">
              <w:rPr>
                <w:rtl w:val="0"/>
              </w:rPr>
              <w:t xml:space="preserve">33.1.</w:t>
            </w:r>
            <w:r w:rsidR="00000000" w:rsidRPr="00000000" w:rsidDel="00000000">
              <w:rPr>
                <w:rtl w:val="0"/>
              </w:rPr>
              <w:t xml:space="preserve"> apakšpunktā minētajām izmaksām trīs gadus pēc projekta īstenošanas;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ka  komunikācijas un vizuālās identitātes prasību nosacījumu ievērošanu nodrošina atbilstoši arī Eiropas Savienības fondu 2021.–2027. gada plānošanas perioda un Atveseļošanas fonda komunikācijas un dizaina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71.6. nodrošina informācijas un publicitātes pasākumus saskaņā ar  regulas Nr. 2021/1060 47. pantu un 50. pantu un normatīvajiem aktiem par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vadošās iestādes vadlīnijās "Vadlīnijas Ministru kabineta noteikumu par specifiskā atbalsta mērķa īstenošanu izstrādei Eiropas Savienības fondu 2021.—2027. gada plānošanas periodā" lietoto jēdzienu "komunikācijas un vizuālās identitātes prasību nodrošināšanas nosacījumi", aicinām izvērtēt un pēc nepieciešamības precizēt noteikumu projekta 71.6.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71.6.apakšpunktā aizstāt vārdus un skaitļus "un normatīvajiem aktiem par kārtību, kādā Eiropas Savienības fondu vadībā iesaistītās institūcijas nodrošina šo fondu ieviešanu 2021.–2027. gada plānošanas periodā" ar vārdiem un skaitļiem "un normatīvajiem aktiem,</w:t>
            </w:r>
            <w:r w:rsidR="00000000" w:rsidRPr="00000000" w:rsidDel="00000000">
              <w:rPr>
                <w:u w:val="single"/>
                <w:rtl w:val="0"/>
              </w:rPr>
              <w:t xml:space="preserve"> kas nosaka kārtību</w:t>
            </w:r>
            <w:r w:rsidR="00000000" w:rsidRPr="00000000" w:rsidDel="00000000">
              <w:rPr>
                <w:rtl w:val="0"/>
              </w:rPr>
              <w:t xml:space="preserve">, kādā Eiropas Savienības fondu vadībā iesaistītās institūcijas nodrošina šo fondu ieviešanu 2021.–2027. gada plānošanas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attiecīgo informāciju par informācijas un publicitātes pasākumu nodrošināšanu (komunikācijas un vizuālās identitātes prasību nodrošināšanas nosacījumu ievērošanu), tostarp saskaņā ar attiecīgajiem dokumentiem, norādīt arī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redakciju un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76.6. nodrošina komunikācijas un vizuālās identitātes prasības saskaņā ar  regulas </w:t>
            </w:r>
            <w:r w:rsidR="00000000" w:rsidRPr="00000000" w:rsidDel="00000000">
              <w:rPr>
                <w:rtl w:val="0"/>
              </w:rPr>
              <w:t xml:space="preserve">2021/1060</w:t>
            </w:r>
            <w:r w:rsidR="00000000" w:rsidRPr="00000000" w:rsidDel="00000000">
              <w:rPr>
                <w:rtl w:val="0"/>
              </w:rPr>
              <w:t xml:space="preserve"> 47. un 50. pantu un normatīvajiem aktiem, kas nosaka kārtību, kādā Eiropas Savienības fondu vadībā iesaistītās institūcijas nodrošina šo fondu ieviešanu 2021.–2027. gada plānošanas periodā, kā arī Eiropas Savienības fondu 2021.–2027. gada plānošanas perioda un Atveseļošanas fonda komunikācijas un dizaina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- 18.10.2023.)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sadaļu Horizontālais princips "Klimatdrošināšana" un horizontālais princips "Energoefektivitāte pirmajā vietā" priekšlikums precizēt un paplašināt teikumu “Projektu ietvaros ir atbalstāmi energoefektīvi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lūgums ielikt atsauci uz EK rekomendācijām “Tehniskie norādījumi par infrastruktūras klimatdrošināšanu 2021.–2027. gada periodā" un š.g. 26. janvārī MK apstiprināto metodiku “Eiropas Reģionālās attīstības fonda, Eiropas Sociālā fonda plus, Kohēzijas fonda un Taisnīgas pārkārtošanās fonda projektu iesniegumu atlases metodika 2021.–2027. gadam”, kuras ietvaros noteikts, ka ir nepieciešams horizontālā principa novērtējums.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projekta iesnieguma vērtēšanas kritēriju un pasākuma projekta iesnieguma vērtēšanas kritēriju piemērošanas metodikas izstrādes laikā (ar 02.08.2023 lēmumu Nr. L-2023/21-27/49 tika apstiprināti ES fondu Uzraudzības komitejas rakstiskajā procedūrā, dokumenti pieejami: </w:t>
            </w:r>
            <w:r w:rsidR="00000000" w:rsidRPr="00000000" w:rsidDel="00000000">
              <w:rPr>
                <w:i w:val="1"/>
                <w:rtl w:val="0"/>
              </w:rPr>
              <w:t xml:space="preserve">https://www.esfondi.lv/profesionaliem/uzraudzibas-komiteja/uk-e-portfelis-2021-2027/2023-07-18-uk-rakstiska-procedura-varam_5111_1-3-k</w:t>
            </w:r>
            <w:r w:rsidR="00000000" w:rsidRPr="00000000" w:rsidDel="00000000">
              <w:rPr>
                <w:rtl w:val="0"/>
              </w:rPr>
              <w:t xml:space="preserve">) tika ņemta vērā Eiropas Savienības struktūrfondu un Kohēzijas fonda vadošās iestādes (FM) 26.01.2023.  izstrādā metodika Nr. 3.1. “Eiropas Reģionālās attīstības fonda, Eiropas Sociālā fonda plus, Kohēzijas fonda un Taisnīgas pārkārtošanās fonda projektu iesniegumu atlases metodika 2021.–2027. gadam” (pieejama </w:t>
            </w:r>
            <w:r w:rsidR="00000000" w:rsidRPr="00000000" w:rsidDel="00000000">
              <w:rPr>
                <w:i w:val="1"/>
                <w:rtl w:val="0"/>
              </w:rPr>
              <w:t xml:space="preserve">https://m.esfondi.lv/upload/atlases-metodika.pdf</w:t>
            </w:r>
            <w:r w:rsidR="00000000" w:rsidRPr="00000000" w:rsidDel="00000000">
              <w:rPr>
                <w:rtl w:val="0"/>
              </w:rPr>
              <w:t xml:space="preserve">) t.sk., ņemts vērā metodikā iekļautais vadošās iestādes aicinājums iepazīties ar Eiropas Komisijas paziņojumu “Tehniskie norādījumi par infrastruktūras klimatnodrošināšanu 2021.–2027.gada periodā”. Vienlaikus noteikumu projekts paredz, ka finansējuma saņēmējs uzkrāj datus par projekta ietekmi uz horizontālo principu īstenošanu un ievēro klimatdrošināšanas, enerfoefektivitāte pirmajā vietā, un nenodarīt būtisku kaitējumu principus, kā arī informē CFLA par ikgadējo enerģijas patēriņu (megavatstundas) par šo noteikumu 33.1. apakšpunktā minētajām izmaksām trīs gadus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- 28.09.2023.)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aicina VARAM vienoties ar Valsts ieņēmumu dienestu un izstrādāt metodisko materiālu kā pašvaldības (bez maksas) varēs  pārbaudīt uzņēmumu grāmatvedības uzskaites datus ar Valsts ieņēmumu dienesta Elektroniskās deklarēšanas sistēmas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5.1.1.1. pasākuma ietvaros projektu rādītāju  primārais avots būtu pats komersants (projektā plānoto rādītāju devējs), proti, informācija par komersanta nākotnes plāniem vislabāk zināma pašam komersantam (plānotās darba algas, nefinanšu investīcijas u.c. datiem). Vienlaikus 5.1.1.1. pasākuma Ministru kabineta noteikumu projekts paredz, ka tādos projektos, kur tiks attīstīta publiskā infrastruktūra (piemēram, publiski pieejami ceļi), kur jau atrodas esoši komersanti, kas plāno savu attīstību, rādītāju vērtības tiks ieskaitītas arī par 2 kalendāra gadiem pirms projekta iesniegšanas. Ja šos datus par jau izmaksāto atalgojumu pašvaldība kādu iemeslu dēl nevar iegūt no komersanta vai rodas šaubas par iegūto datu atbilstību Valsts ieņēmumu dienestam (VID) ziņotajiem datiem, tad pašvaldībai vislabāk tos būtu pārbaudīt VID datu noliktavā – tāpat, kā to projektu vērtēšanā un uzraudzībā darīs CFLA.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Sazinoties ar VID, noskaidrots, ka pašvaldības, kurām vēl nav vienošanās ar VID par piekļuvi VID datu noliktavai, to var noslēgt, attiecīgi norādot datu nepieciešamības pamatojumu (VID norādīja, ka svarīgi, ka tas nav vienam gadījumam, bet paredzēts izmantošanai ilgākā laika posmā) - ņemot vērā, ka rādītāju vērtības varēs ziņot līdz 2029. gada 31. decembrim, VID datu noliktas izmantošana būtu nepieciešama ilgtermiņā.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apzinātu pašvaldību iespējas iegūt nepieciešamos datus par komersantu izmaksātajām algām, VID informēja arī par citām alternatīvām, kuras pašvaldības izmanto jau pašreiz. No VID puses tika sniegta informācija, ka, lai atvieglotu pašvaldību iekšējos un starpiestāžu sadarbības procesus, ir izstrādāts savstarpēji integrēts IT risinājums visām pašvaldībām – Vienotā pašvaldību sistēma (VPS), kuras mērķis ir nodrošināt integrētus risinājumus visām pašvaldību funkcijām, tai skaitā pašvaldībām ir nodrošināta pieeja Pašvaldību sociālās palīdzības un sociālo pakalpojumu administrēšanas lietojumprogrammai SOPA, kurai ir sasaiste ar dažādiem valsts reģistriem, tai skaitā VID (ienākumi, darba vietas), VSAA (ienākumi)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piedāvātais IT risinājums varētu radīt sarežģījumus datu apkopošanā 5.1.1.1.pasākuma projektu vajadzībām, kur dati ir strukturēti citā griezumā (par nodarbinātajiem nevis komersantu griezumā), tāpēc aicinām pašvaldības, kuras plāno būt projektu iesniedzēji 5.1.1.1.pasākuma ietvaros, sazināties  par iespējamo sadarbību ar VID, noslēdzot vienošanos par piekļuvi VID datu noliktavai.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- 17.08.2023.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vienkāršoto izmaksu piemērošanas iespējas projektos neierobežo tas, kāds ir projektu finansiālais apmērs un vai tas pakļaujas komercdarbības atbalsta nosacījumiem. Obligāta vienkāršoto izmaksu piemērošana attiecas uz projektiem līdz 200 tūkstošiem EUR ar atsevišķiem izņēmumiem, kā piemēram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anotāciju ar argumentāciju, kāpēc šajā pasākumā (infrastruktūras projekti) nevar izmantot plašāk vienkāršotās izmaksas, t.sk. personāla atlīdzības izmaksu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anotācijas 1.3.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kā 5.1.1.1. pasākuma ietvaros īstenotie projekti un minētās atbalstāmās darbības veicinās  Eiropas Savienības stratēģijā Baltijas jūras reģionam (ESSBJR) noteikto mērķu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no kādiem līdzekļiem tiks nodrošināta pasākuma rezultātu/rādītāju ilgtspēja vai uzturēšana.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anotācijā iekļaut informāciju par inovatīva publiskā iepirkuma prasību piemērošanu 5.1.1.1.pasākumā.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informāciju anotācijas 8.2. sadaļā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Sadaļā "Sasniedzamie rādītāji" ir minēts, ka noteikumu projekts nosaka izslēdzošas nozares, kuru pārstāvoši komersanti nevar būt rādītāju devēji. Lūdzam norādīt nozares, kuras netiks iekļautas rādītāju aprēķinā un minēt pamatojumu šo nozaru izslēgšanai no aprēķiniem. Tāpat lūdzam pamatot, kāpēc biedrības un nodibinājumi arī nevar būt rādītāju devēji šajā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 1.3.  sadaļā “Sasniedzamie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sadaļas "Pašreizējā situācija, problēmas un risinājumi" daļa "Atbalsta apjoms un ar komercdarbības atbalsta saņemšanu saistītie nosacījumi" rindkopā "Komercdarbības atbalsta pārkāpumu risku mazināšanai, noteikumu projektā ietverti ierobežojumi īpašumtiesību veidiem, kādos pieļaujami projekta ieguldījumi. Publiskas personas gadījumā (neattiecas uz publiski privātu kapitālsabiedrību un pašvaldības kapitālsabiedrību, kas veic pašvaldības deleģēto pārvaldes uzdevumu izpildi) projektā plānotās izmaksas, uz kurām nav attiecināmi komercdarbības atbalsta nosacījumi, šī publiskā persona var veikt savā vai citas publiskas personas īpašumā. </w:t>
            </w:r>
            <w:r w:rsidR="00000000" w:rsidRPr="00000000" w:rsidDel="00000000">
              <w:rPr>
                <w:u w:val="single"/>
                <w:rtl w:val="0"/>
              </w:rPr>
              <w:t xml:space="preserve">Savukārt valdījumā esoša īpašuma gadījumā, tikai tādā valdījumā esošā īpašumā, kura īpašnieks ir publiska persona</w:t>
            </w:r>
            <w:r w:rsidR="00000000" w:rsidRPr="00000000" w:rsidDel="00000000">
              <w:rPr>
                <w:rtl w:val="0"/>
              </w:rPr>
              <w:t xml:space="preserve">." dzēst pēdējo teikumu, tādejādi neierobežojot investīcijas ceļu/ ielu infrastruktūrā, uz kuru nav attiecināmi komercdarbības atbalsta nosacījumi,  gadījumos, kad zeme zem inženierbūves ir privātpersonas īpašums.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MK noteikumu projekta un anotācijas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anotācijas V sadaļas 1. Tabulu norādot visas noteikumu projekta vienības, kurās ieviesti ES tiesību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papildināto anotāciju.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23-TA-1091</w:t>
    </w:r>
    <w:r>
      <w:br/>
    </w:r>
    <w:r w:rsidR="00000000" w:rsidRPr="00000000" w:rsidDel="00000000">
      <w:rPr>
        <w:rtl w:val="0"/>
      </w:rPr>
      <w:t xml:space="preserve">16.01.2024. 16.19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23-TA-1091</w:t>
    </w:r>
    <w:r>
      <w:br/>
    </w:r>
    <w:r w:rsidR="00000000" w:rsidRPr="00000000" w:rsidDel="00000000">
      <w:rPr>
        <w:rtl w:val="0"/>
      </w:rPr>
      <w:t xml:space="preserve">16.01.2024. 16.19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Izziņa_23-TA-1091.docx</dc:title>
</cp:coreProperties>
</file>

<file path=docProps/custom.xml><?xml version="1.0" encoding="utf-8"?>
<Properties xmlns="http://schemas.openxmlformats.org/officeDocument/2006/custom-properties" xmlns:vt="http://schemas.openxmlformats.org/officeDocument/2006/docPropsVTypes"/>
</file>