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25-TA-2289: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18. aprīļa noteikumos Nr. 198 "Tiešo maksājumu piešķiršanas kārtība lauksaimniekiem"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(20.06.2025.)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22.01.2026. 09:08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izvērtēt pielikuma 7.</w:t>
            </w:r>
            <w:r w:rsidR="00000000" w:rsidRPr="00000000" w:rsidDel="00000000">
              <w:rPr>
                <w:rtl w:val="0"/>
              </w:rPr>
              <w:t xml:space="preserve"> </w:t>
            </w:r>
            <w:r w:rsidR="00000000" w:rsidRPr="00000000" w:rsidDel="00000000">
              <w:rPr>
                <w:b w:val="1"/>
                <w:rtl w:val="0"/>
              </w:rPr>
              <w:t xml:space="preserve">punkta papildināšanu ar attiecīgo likuma tiesību normu, par kuras nepildīšanu varētu piemērot administratīvo sodu par neatbilstoša darba aprīkojuma lietošanu vai drošības prasību neievērošanu.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Pamatā administratīvās atbildības gadījumā katrai tiesību normai, kurā paredzēta administratīvā atbildība, korespondē kāda cita tiesību norma, kurā noteikts kāds juridisks pienākums. Rīcībai, par kuru paredzēta administratīvā atbildība, ir jābūt aizliegtai ar tiesību normu </w:t>
            </w:r>
            <w:r w:rsidR="00000000" w:rsidRPr="00000000" w:rsidDel="00000000">
              <w:rPr>
                <w:i w:val="1"/>
                <w:rtl w:val="0"/>
              </w:rPr>
              <w:t xml:space="preserve">(Smiltēna A. Administratīvās atbildības norobežošanas no kriminālatbildības problemātika. Grām.: Administratīvo pārkāpumu tiesības. Administratīvās atbildības likuma skaidrojumi. Sagatavojis autoru kolektīvs. E. Danovska un G. Kūtra zinātniskajā redakcijā. Rīga: Tiesu namu aģentūra, 2020, 25.–26. lpp.). </w:t>
            </w:r>
            <w:r w:rsidR="00000000" w:rsidRPr="00000000" w:rsidDel="00000000">
              <w:rPr>
                <w:rtl w:val="0"/>
              </w:rPr>
              <w:t xml:space="preserve">Tipiskā gadījumā tieši likumdevējam ir jābūt tam, kas noteic iespējamā pārkāpuma saturisko ietvaru. Minētais ir saistīts ar administratīvās atbildības sistēmu un pienākumu likumdevējam izlemt svarīgākos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visā pielikumā pievērst uzmanību, ka administratīvo atbildību "noteic" likums abstrakti, bet, ja ir runa par jau konkrētām tiesiskām sekām privātpersonai, tad izmantojams termins "piemēro". Proti, likumdevējs noteic likumā administratīvos pārkāpumus un par tiem piemērojamos sodus (administratīvo atbildību), bet konkrētā gadījumā pārkāpējam administratīvo atbildību (administratīvo sodu) piemēro persona, kura veic administratīvā pārkāpuma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2.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izvērtēt, vai minētais regulējums par atbalsta samazināšanu ir ietverams tieši Ministru kabineta noteikumu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pielikumos parasti iekļauj dažādas informatīvas tabulas, veidlapu paraugus, kartes, zīmējumus u.tml., bet neiekļauj patstāvīgas tiesību normas. Attiecīgi būtu apsverams, vai minētais regulējums ir iekļaujams Ministru kabineta noteikumu pamattekstā.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daudzu atsauču veidošana uz citiem tiesību aktiem var veicināt regulāru attiecīgo Ministru kabineta noteikumu grozīšanu, ja tiks grozīti atsaucēs minētie tiesību akti. Tādējādi būs nepieciešama regulāra attiecīgo Ministru kabineta noteikumu izvērtēšana un iespējama pārskatīšana.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noteikumu Nr. 198. 8.</w:t>
            </w:r>
            <w:r w:rsidR="00000000" w:rsidRPr="00000000" w:rsidDel="00000000">
              <w:rPr>
                <w:vertAlign w:val="superscript"/>
                <w:rtl w:val="0"/>
              </w:rPr>
              <w:t xml:space="preserve">1</w:t>
            </w:r>
            <w:r w:rsidR="00000000" w:rsidRPr="00000000" w:rsidDel="00000000">
              <w:rPr>
                <w:rtl w:val="0"/>
              </w:rPr>
              <w:t xml:space="preserve"> pielikumā ir ietvertas tās tiesību aktu (likumu) normas, kuru neievērošanas rezultātā tiek piemērots atbalsta samazinājums, bet tās neuzliek papildus saistības atbalsta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pamattekstam dažkārt tiek pievienoti pielikumi. Ar šo juridiskās tehnikas paņēmienu tiek panākts normatīvā akta satura uzskatāmāks izklāsts.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pielikumi, tostarp Ministru kabineta normatīvo aktu – noteikumu – pielikumi, ir neatņemama šo aktu sastāvdaļa ar tādu pašu juridisko spēku kā normatīvā akta pamattekstā ietvertajām tiesību normām (skat. Satversmes Tiesas 2008. gada 23. septembra  sprieduma lietā Nr.2008–01–03 10.2.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pielikumi ir normatīvo aktu sastāvdaļa un tiem ir tāda pati juridiskā spēka nozīme kā normatīvā akta pamattekstam.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Ministru kabineta noteikumu pielikumi nav tikai ilustratīvi vai palīgdokumenti — tie juridiski pieder pie noteikuma un satur tiesību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izvērtēt un skaidrot projekta anotācijā, vai brīdinājumu (kas nav administratīvais sods) sociālo nosacījumu sistēmas ietvaros varētu izteikt arī par citiem gadījumiem, kad administratīvais pārkāpums ir atzīstams par maznozīmīgu.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neformālās konsultācijās Eiropas Komisija ir norādījusi, ka atbalsta samazinājumu nepiemēro, ja neatbilstībai nav seku vai tās ir nenozīmīgas. Savukārt projektā paredzētajā Ministru kabineta noteikumu projekta 2. pielikumā paredzēts brīdinājums par gadījumiem, kad administratīvā pārkāpuma procesā piemērota nosacīti daļēja atbrīvošana no soda.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Komisijas skaidrojumu, aicinām izvērtēt un anotācijā skaidrot, vai Ministru kabineta noteikumu paredzētajā 2. pielikumā minētajos gadījumos brīdinājumu (kas nav administratīvais sods) varētu izteikt arī par gadījumiem, kad saskaņā ar Administratīvās atbildības likumu (likuma 11. panta pirmā daļa) administratīvais pārkāpums būtu uzskatāms par maznozīmīgu, proti, tādu, kas nav radījis  tādu apdraudējumu tiesiski aizsargātajām interesēm, lai par to piemērotu sodu.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ne vienmēr nosacīta daļēja atbrīvošana no naudas soda samaksas  nozīmē, ka pārkāpums ir bijis tāds, kuram nav sekas vai tās ir nenozīmīgas. Nosacīta daļēja atbrīvošana no naudas soda vairāk ir saistīta ar mērķi veicināt amatpersonu un pie atbildības saucamās personas sadarbību (Administratīvās atbildības likuma 154. panta pirmā daļa) un  administratīvā pārkāpuma procesa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kura Eiropas Parlamenta un Padomes 2021. gada 2. decembra regulas Nr.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vai Eiropas Parlamenta un Padomes 2021. gada 2. decembra Regulas Nr. 2021/2116 par kopējās lauksaimniecības politikas finansēšanu, pārvaldību un uzraudzību un ar ko atceļ Regulu (ES) Nr. 1306/2013 tiesību norma noteic pienākumu dalībvalstij īstenot minēto regulu īstenošanas pasākumus projektā paredzētājā noteikumu 2. pielikumā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minētās regulas attiecīgās tiesību normas šajā jautājumā nebūtu tieši piemērojamas. Ja tas tā nav, tad Ministru kabinetam principā nevajadzētu regulēt jautājumus, kas tieši vai netieši saistīti ar administratīvās atbildības (soda) piemērošanu. Tā ir ekskluzīva likumdevēja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Lai nodrošinātu vienlīdzīgu attieksmi pret lauksaimniekiem un nepieļautu tirgus un konkurences kropļojumus, saskaņā ar </w:t>
            </w:r>
            <w:r w:rsidR="00000000" w:rsidRPr="00000000" w:rsidDel="00000000">
              <w:rPr>
                <w:rtl w:val="0"/>
              </w:rPr>
              <w:t xml:space="preserve">regulas 2021/2116 62. pantu</w:t>
            </w:r>
            <w:r w:rsidR="00000000" w:rsidRPr="00000000" w:rsidDel="00000000">
              <w:rPr>
                <w:rtl w:val="0"/>
              </w:rPr>
              <w:t xml:space="preserve"> uzskatāms, ka lauksaimnieks ir radījis mākslīgus apstākļus, lai saņemtu šo noteikumu </w:t>
            </w:r>
            <w:r w:rsidR="00000000" w:rsidRPr="00000000" w:rsidDel="00000000">
              <w:rPr>
                <w:rtl w:val="0"/>
              </w:rPr>
              <w:t xml:space="preserve">2.15.</w:t>
            </w:r>
            <w:r w:rsidR="00000000" w:rsidRPr="00000000" w:rsidDel="00000000">
              <w:rPr>
                <w:rtl w:val="0"/>
              </w:rPr>
              <w:t xml:space="preserve"> un </w:t>
            </w:r>
            <w:r w:rsidR="00000000" w:rsidRPr="00000000" w:rsidDel="00000000">
              <w:rPr>
                <w:rtl w:val="0"/>
              </w:rPr>
              <w:t xml:space="preserve">2.16.</w:t>
            </w:r>
            <w:r w:rsidR="00000000" w:rsidRPr="00000000" w:rsidDel="00000000">
              <w:rPr>
                <w:rtl w:val="0"/>
              </w:rPr>
              <w:t xml:space="preserve"> apakšpunktā</w:t>
            </w:r>
            <w:r w:rsidR="00000000" w:rsidRPr="00000000" w:rsidDel="00000000">
              <w:rPr>
                <w:rtl w:val="0"/>
              </w:rPr>
              <w:t xml:space="preserve"> noteikto atbalstu, ja nav novākta raža, kultūraugam sasniedzot gatavības fāzi, vai nav ierīkots jauns ilggadīgo kultūraugu stādījums, izmantojot kultūraugam piemērotu stādīšanas metodi, vai lauksaminieks nevar iesniegt pierādījumu par saražotās produkcijas realizāciju tirgū vai pārstrādei vai programmā "Skolas auglis" vai pierādījumu, ka produkcija pārstrādāta paša saimniecībā.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vai svītrot norādi "vai programmā "Skolas auglis", kā arī sniegt pamatotu skaidrojumu par konkrētā izņēmuma piemērošanu. Norādām, ka nav skaidrs, kādi konkrēti nosacījumi attiecināmi uz minēto programmu, tostarp arī no noteikumu projekta anotācijas neizriet pamatojums konkrētus nosacījumus pierādījumu iesniegšanā attiecināt tikai uz vienu programmu, nevis vispārēji, jo īpaši, ja ņem vērā normas mērķi nodrošināt vienlīdzīgu attieksmi pret lauksaimniekiem un nepieļaut tirgus un konkurences kropļojumus.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Lai nodrošinātu vienlīdzīgu attieksmi pret lauksaimniekiem un nepieļautu tirgus un konkurences kropļojumus, saskaņā ar </w:t>
            </w:r>
            <w:r w:rsidR="00000000" w:rsidRPr="00000000" w:rsidDel="00000000">
              <w:rPr>
                <w:rtl w:val="0"/>
              </w:rPr>
              <w:t xml:space="preserve">regulas 2021/2116 62. pantu</w:t>
            </w:r>
            <w:r w:rsidR="00000000" w:rsidRPr="00000000" w:rsidDel="00000000">
              <w:rPr>
                <w:rtl w:val="0"/>
              </w:rPr>
              <w:t xml:space="preserve"> uzskatāms, ka lauksaimnieks ir radījis mākslīgus apstākļus, lai saņemtu šo noteikumu </w:t>
            </w:r>
            <w:r w:rsidR="00000000" w:rsidRPr="00000000" w:rsidDel="00000000">
              <w:rPr>
                <w:rtl w:val="0"/>
              </w:rPr>
              <w:t xml:space="preserve">2.15.</w:t>
            </w:r>
            <w:r w:rsidR="00000000" w:rsidRPr="00000000" w:rsidDel="00000000">
              <w:rPr>
                <w:rtl w:val="0"/>
              </w:rPr>
              <w:t xml:space="preserve"> un </w:t>
            </w:r>
            <w:r w:rsidR="00000000" w:rsidRPr="00000000" w:rsidDel="00000000">
              <w:rPr>
                <w:rtl w:val="0"/>
              </w:rPr>
              <w:t xml:space="preserve">2.16.</w:t>
            </w:r>
            <w:r w:rsidR="00000000" w:rsidRPr="00000000" w:rsidDel="00000000">
              <w:rPr>
                <w:rtl w:val="0"/>
              </w:rPr>
              <w:t xml:space="preserve"> apakšpunktā</w:t>
            </w:r>
            <w:r w:rsidR="00000000" w:rsidRPr="00000000" w:rsidDel="00000000">
              <w:rPr>
                <w:rtl w:val="0"/>
              </w:rPr>
              <w:t xml:space="preserve"> noteikto atbalstu, ja nav novākta raža, kultūraugam sasniedzot gatavības fāzi, vai nav ierīkots jauns ilggadīgo kultūraugu stādījums, izmantojot kultūraugam piemērotu stādīšanas metodi, vai lauksaimnieks nevar iesniegt pierādījumu par saražotās produkcijas realizāciju tirgū vai pārstrādei vai piegādi saskaņā ar normatīvajiem aktiem par valsts un Eiropas Savienības atbalsta piešķiršanas, administrēšanas un uzraudzības kārtību augļu, dārzeņu un piena piegādei izglītības iestādēm vai pierādījumu, ka produkcija pārstrādāta paša saimniecībā.</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17.12.2025. 17:00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Komisijā 2025. gada 12. decembrī apstiprinātos grozījumus Kopējās lauksaimniecības politikas (KLP) Stratēģiskajā plānā 2023.–2027. gadam, lūdzam plānotās izmaiņas detalizēti aprakstīt arī šajos noteikumu grozījumos, lai skaidri norādītu ietekmi uz plānotajiem rādītājiem. Rosinām izvērtēt, kā šie grozījumi ietekmēs, piemēram Dabas atjaunošanas regulas mērķus attiecībā uz apputeksnētājiem un lauksaimniecības jomas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piemēru varētu minēt par ekoshēmas atbalstā par ekoloģiski nozīmīgu platību (EKO2) plānoto nektāraugu masu nenovākšanu, kas nerada tiešu negatīvu ietekmi, jo tās visas ir sētās platības (parasti tīrsējā), ko ik gadu vai ik pāris gadus pārsēj. No Dabas atjaunošanas regulas nosacījumiem saskatām problēmu, ka varētu izveidoties situācija, ka tiek pieļauts, ka nektāraugus sēj ilggadīgo zālāju vai pat zālāju biotopu platībās, tā tos iznīcinot un pieļaujot, ka pēc vairākiem gadiem šīs platības varētu deklarēt kā atbalsttiesīgo aramzemi. Tāpēc aicinām paredzēt uzraudzībā kritērijus, lai nodrošinātu, ka apputeksnētāju mērķu ieviešanai plānotās darbības vienlaikus nepasliktina zālāju biotopu un no zālājiem atkarīgo sugu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ir pārskatīts atsauces īpatsvars, izmantojot 2024. gada datus par kopējo ilggadīgo zālāju platību un atbalstam deklarēto lauksaimniecības zemes platību. Lūdzam norādīt atsauci uz datu avotu, kā arī norādīt aprēķinu un pieņēmumus, lai nodrošinātu informācijas un datu izsekojamību. Lūdzam skaidrot, kā ekoshēmas atbalsta par zālāju saglabāšanas veicināšanu (EKO6) saistības un iespēja samazināt saistību platību, nemainot pieteiktās platības (lauka) atrašanās vietu, ietekmēs KLP rādītāju par kopējām valstī pieteiktajām un apsaimniekotajām ilggadīgo zālāju platībām, un kā tiks nodrošināts, ka no eko6 izņemtās platības netiek pārvērstas par aramzemi (tostarp, ietekmē atsauces īpatsvaru).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anotācijas 1.3.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šie grozījumi MK noteikumos Nr.198 tiek veikti, lai ieviestu KLP Stratēģiskā plāna grozījumus, kas jau ir saskaņoti ar Eiropas Komisiju, un tos darītu saistošus Latvijas lauksaimniekiem.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Iesniedzot KLP SP grozījumus Eiropas Komisijā katrs plāna grozījums jau tiek izvērtēts pēc noteiktas formas, kurā katram grozījumam tiek novērtēta arī tā paredzamā izmaiņu ietekme uz mērķiem un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KLP Stratēģiskajā plānā ir iekļauti grozījumi, kas pārsvarā  vērsti uz administratīvu vienkāršošanu, tehniskiem precizējumiem un elastības palielināšanu lauksaimniekiem, tie pēc būtības nemazina Dabas atjaunošanas regulas mērķus mērķu sasniegšanu, jo pamatā tiek saglabāti pamatnosacījumi, kas vērsti uz vides prasību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EKO2 – pamatnosacījums ir ka  EKO2 atbalstu piešķir par aramzemes platību, kurā kārtējā gada tiek audzēti, citu starpā, arī nektāraugi  tīrsējā vai maisījumos. Līdz ar to EKO2 atbalsts netiek piešķirts par ilggadīgajiem zālājiem un neietekmē zālāju biotopus un no zālājiem atkarīgo sugu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EKO6, skaidrojam, ka iespēja lauksaimniekiem pagarināt uzņemtās saistības ir vērsta uz ilggadīgo zālāju un cita veida zālaugu, tai skaitā aramzemē sēto zālāju, aizņemto platību saglabāšanu, līdz ar to saistību perioda pagarināšana pozitīvi ietekmēs šo platību saglabāšanu un noteikto prasību (neapart) ievērošanu. Attiecībā uz aramzemē sētajiem zālājiem – tā ir aramzeme un pārtraucot EKO6 saistības lauksaimniekam ir tiesības šīs platības apart un apsēt ar cita veida kultūraugiem. Savukārt gadījumā, ja tiek aparti ilggadīgie zālāji – tas samazina kopējo ilggadīgo zālāju platību valstī, pieaugot aramzemes platībai, kas kopumā samazina ilggadīgo zālāju īpatsvaru valsts līmenī, kā tas noteikts ar 1. LLVS standartu. Situācijā, ja šis īpatsvars samazināsies par vairāk kā 10%, salīdzinot ar atsauces periodu, lauksaimniekiem, kuri ir pārveidojuši ilggadīgo zālāju platības par zemi citām vajadzībām tiks uzlikts pienākums proporcionāli atjaunot ilggadīgo zālāju platības.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5. sadaļu ar informāciju par Eiropas Parlamenta un Padomes 2021. gada 2. decembra Regulas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Nr. 2021/2115), III pielikumā ietverto prasību ieviešanu noteikumu projekta 3. punktā u.c. Līdzīgi lūdzam skaidrot Eiropas Parlamenta un Padomes 2018. gada 30. maija Regulā (ES) 2018/848 par bioloģisko ražošanu un bioloģisko produktu marķēšanu un ar ko atceļ Padomes Regulu (EK) Nr. 834/2007, ietverto prasību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ņemot vērā anotācijas 5. sadaļā minēto, ka: "Eiropas Komisija pašlaik ir sagatavojusi grozījumus regulā 2022/126, I pielikumā mainot arī noteikto minimālo uz vietas veicamo pārbaužu daudzuma rādītāju", lūdzam skaidrot pamatojumu noteikumu projekta 20. punktā ietvertajam grozījumam, ja grozījumi regulā vēl nav pieņemti, tostarp norādot arī to, kādai līdz regulas grozījumu spēkā stāšanās brīdim būs jābūt deklarēto kaņepju platībai. Nepieciešamības gadījumā aicinām aktualizēt 5. sadaļā sniegto informāciju vai paredzēt noteikumu projekta 20. punkta spēkā stāšanās kārtību. Papildus lūdzam arī skaidrot minētajā regulas pielikumā paredzētās rīcības brīvības izmantošanu vai neizmantošanu un attiecīgus apsvērumus.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anotācijas 5.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2026. gada janvāra darba grupu sanāksmēs Komisija informēja, ka  ir jau uzsāktas iekšējās procedūras, lai sagatavotais deleģētā akta projekts, ar kuru paredzēti grozījumi regulā 2022/126, tiktu pieņemts tuvāko mēnešu laikā un būtu piemērojams, sākot ar 2026. gada iesniegumiem.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plānojam, ka noteikumu projekta 20. punktā paredzētais regulējums tiks piemērots, sākot ar 2026. gada iesniegumu gadu, bet līdz attiecīgo Eiropas Savienības tiesību aktu grozījumu spēkā stāšanās brīdim piemērojamas šobrīd spēkā esošās regulā 2022/126 noteiktās prasības. Tādējādi tiek nodrošināta tiesiskā skaidrība un lauksaimnieku tiesiskā paļāvība.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noteikumu projekta 20. punktā paredzētais grozījums neietekmē deklarēto kaņepju platību vai prasības tās deklarēšanai, bet attiecas tikai uz vietas veicamo pārbaužu apjomu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vietas veicamās pārbaudes kaņepju audzēšanas gadījumā pēc būtības tiek uzsāktas ne ātrāk kā jūlijā, kad kaņepes ir sasniegušas ziedēšanas stadiju un ir iespējams veikt atbilstības pārbaudes, tostarp noteikt THC saturu. Attiecīgi grozījums neietekmē iesniegumu iesniegšanas termiņus, deklarētās platības apmēru vai lauksaimnieku pienākumus deklarēšanas posmā.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w:t>
            </w:r>
            <w:r w:rsidR="00000000" w:rsidRPr="00000000" w:rsidDel="00000000">
              <w:rPr>
                <w:vertAlign w:val="superscript"/>
                <w:rtl w:val="0"/>
              </w:rPr>
              <w:t xml:space="preserve">1</w:t>
            </w:r>
            <w:r w:rsidR="00000000" w:rsidRPr="00000000" w:rsidDel="00000000">
              <w:rPr>
                <w:rtl w:val="0"/>
              </w:rPr>
              <w:t xml:space="preserve"> Saistīto atbalstu par dārza ķirbju, vīģlapu ķirbju, lielaugļu ķirbju un muskata ķirbju platību piešķir, ja tie stādīti ar stādu, nevis sēti.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konkrētā nosacījuma ietekmi, proti, kāda ir tā iedarbība uz lauksaimniekiem, kuri atbalsta saņemšanas nolūkā ķirbjus sējuši, nevis stādījuši, un attiecīgi skaidrot arī minētā nosacījuma saderību ar tiesiskās paļāvības principu. Vēršam uzmanību, ka tiesiskās paļāvības princips noteic, ka privātpersona var paļauties, ka iestādes rīcība ir tiesiska un konsekventa, tai skaitā persona var paļauties, ka tā noteiktajā laikā varēs īstenot tai iegūtās tiesības. Satversmes tiesa ir norādījusi (sk.</w:t>
            </w:r>
            <w:r w:rsidR="00000000" w:rsidRPr="00000000" w:rsidDel="00000000">
              <w:rPr>
                <w:i w:val="1"/>
                <w:rtl w:val="0"/>
              </w:rPr>
              <w:t xml:space="preserve"> 2009. gada 26. novembra spriedumu lietā Nr. 2009-08-01</w:t>
            </w:r>
            <w:r w:rsidR="00000000" w:rsidRPr="00000000" w:rsidDel="00000000">
              <w:rPr>
                <w:rtl w:val="0"/>
              </w:rPr>
              <w:t xml:space="preserve">), ka gadījumā, kad normatīvā regulējuma grozījumu rezultātā notiek vai ir iespējama privātpersonu tiesiskā stāvokļa pasliktināšanās, tiesiskās paļāvības princips nodrošina šo personu tiesību aizsardzību, proti, persona var paļauties, ka tā noteiktajā laikā varēs īstenot tai iegūtās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anotācijas 1.3.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Tiesiskās paļāvības princips netiek pārkāpts, jo Latvijas klimatiskajiem apstākļiem agrotehniski piemērotāka ir ķirbju stādīšana ar stādu (kas parasti tiek veikta līdz tekošā gada jūnijam) nevis sēšana un saistītā ienākuma atbalsta mērķis ir veicināt reālu, uz tirgu orientētu, dārzeņkopības ražošanu, nodrošinot ekonomiski pamatotu ražas iegūšanu, pašnodrošinājuma veidošanu valstī, samazinot risku, ka atbalsts tiek saņemts par platībām, kurās ražošana faktiski nav nodrošināta vai tiek īstenota tikai formāli. Anotācijā sniegts papildu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w:t>
            </w:r>
            <w:r w:rsidR="00000000" w:rsidRPr="00000000" w:rsidDel="00000000">
              <w:rPr>
                <w:vertAlign w:val="superscript"/>
                <w:rtl w:val="0"/>
              </w:rPr>
              <w:t xml:space="preserve">1</w:t>
            </w:r>
            <w:r w:rsidR="00000000" w:rsidRPr="00000000" w:rsidDel="00000000">
              <w:rPr>
                <w:rtl w:val="0"/>
              </w:rPr>
              <w:t xml:space="preserve"> Saistīto atbalstu par dārza ķirbju, vīģlapu ķirbju, lielaugļu ķirbju un muskata ķirbju platību piešķir, ja tie stādīti ar stādu, nevis sēti.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 2026. gadā šo noteikumu </w:t>
            </w:r>
            <w:r w:rsidR="00000000" w:rsidRPr="00000000" w:rsidDel="00000000">
              <w:rPr>
                <w:rtl w:val="0"/>
              </w:rPr>
              <w:t xml:space="preserve">65.</w:t>
            </w:r>
            <w:r w:rsidR="00000000" w:rsidRPr="00000000" w:rsidDel="00000000">
              <w:rPr>
                <w:rtl w:val="0"/>
              </w:rPr>
              <w:t xml:space="preserve"> un </w:t>
            </w:r>
            <w:r w:rsidR="00000000" w:rsidRPr="00000000" w:rsidDel="00000000">
              <w:rPr>
                <w:rtl w:val="0"/>
              </w:rPr>
              <w:t xml:space="preserve">66. </w:t>
            </w:r>
            <w:r w:rsidR="00000000" w:rsidRPr="00000000" w:rsidDel="00000000">
              <w:rPr>
                <w:rtl w:val="0"/>
              </w:rPr>
              <w:t xml:space="preserve">punkta</w:t>
            </w:r>
            <w:r w:rsidR="00000000" w:rsidRPr="00000000" w:rsidDel="00000000">
              <w:rPr>
                <w:rtl w:val="0"/>
              </w:rPr>
              <w:t xml:space="preserve">, kā arī </w:t>
            </w:r>
            <w:r w:rsidR="00000000" w:rsidRPr="00000000" w:rsidDel="00000000">
              <w:rPr>
                <w:rtl w:val="0"/>
              </w:rPr>
              <w:t xml:space="preserve">70.1. </w:t>
            </w:r>
            <w:r w:rsidR="00000000" w:rsidRPr="00000000" w:rsidDel="00000000">
              <w:rPr>
                <w:rtl w:val="0"/>
              </w:rPr>
              <w:t xml:space="preserve">apakšpunkta</w:t>
            </w:r>
            <w:r w:rsidR="00000000" w:rsidRPr="00000000" w:rsidDel="00000000">
              <w:rPr>
                <w:rtl w:val="0"/>
              </w:rPr>
              <w:t xml:space="preserve"> prasības neattiecina uz saimniecību, kas Lauku atbalsta dienesta Elektroniskajā pieteikšanās sistēmā līdz 2025. gada 30. decembrim ir iesniegusi paziņojumu par lietavu radītajiem postījumiem.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pamatot noteikumu projekta 24. punktā ietvertā regulējuma atbilstību regulai 2021/2115, ievērojot, ka ar šo noteikumu 65., 66. un 71. apakšpunktu tiek īstenoti minētās regulas III pielikumā noteiktie 5., 6. un 7. LLVS standarti. Ja attiecīgu pamatojumu nav iespējams sniegt, lūdzam svītrot minēto punktu. Papildus vēršam uzmanību, ka faktiski noteikumu projekta spēkā stāšanās brīdī paziņojumu par lietavu radītajiem postījumiem vairs nebūs iespējams iesniegt, turklāt līdz noteikumu projekta spēkā stāšanās brīdim 2026. gadā konkrētajam regulējumam būs atpakaļvērsts spēks, kas ir pretrunā ar Oficiālo publikāciju un tiesiskās informācijas likuma 9. panta ceturto daļu, kas noteic, ka normatīvajam aktam vai tā daļai nav atpakaļejoša spēka, izņemot likumā īpaši paredzētus gadījumus. Tādēļ lūdzam izvērtēt un precizēt minēto noteikumu projekta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 2026. gadā šo noteikumu </w:t>
            </w:r>
            <w:r w:rsidR="00000000" w:rsidRPr="00000000" w:rsidDel="00000000">
              <w:rPr>
                <w:rtl w:val="0"/>
              </w:rPr>
              <w:t xml:space="preserve">65.</w:t>
            </w:r>
            <w:r w:rsidR="00000000" w:rsidRPr="00000000" w:rsidDel="00000000">
              <w:rPr>
                <w:rtl w:val="0"/>
              </w:rPr>
              <w:t xml:space="preserve"> un </w:t>
            </w:r>
            <w:r w:rsidR="00000000" w:rsidRPr="00000000" w:rsidDel="00000000">
              <w:rPr>
                <w:rtl w:val="0"/>
              </w:rPr>
              <w:t xml:space="preserve">66. </w:t>
            </w:r>
            <w:r w:rsidR="00000000" w:rsidRPr="00000000" w:rsidDel="00000000">
              <w:rPr>
                <w:rtl w:val="0"/>
              </w:rPr>
              <w:t xml:space="preserve">punkta</w:t>
            </w:r>
            <w:r w:rsidR="00000000" w:rsidRPr="00000000" w:rsidDel="00000000">
              <w:rPr>
                <w:rtl w:val="0"/>
              </w:rPr>
              <w:t xml:space="preserve">, kā arī </w:t>
            </w:r>
            <w:r w:rsidR="00000000" w:rsidRPr="00000000" w:rsidDel="00000000">
              <w:rPr>
                <w:rtl w:val="0"/>
              </w:rPr>
              <w:t xml:space="preserve">70.1. </w:t>
            </w:r>
            <w:r w:rsidR="00000000" w:rsidRPr="00000000" w:rsidDel="00000000">
              <w:rPr>
                <w:rtl w:val="0"/>
              </w:rPr>
              <w:t xml:space="preserve">apakšpunkta</w:t>
            </w:r>
            <w:r w:rsidR="00000000" w:rsidRPr="00000000" w:rsidDel="00000000">
              <w:rPr>
                <w:rtl w:val="0"/>
              </w:rPr>
              <w:t xml:space="preserve"> prasības Lauku atbalsta dienests neattiecina uz saimniecību, kas Lauku atbalsta dienesta Elektroniskajā pieteikšanās sistēmā ir iesniegusi paziņojumu par lietavu radītajiem postījumiem 2025.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Darba likuma 162. pants, Darba aizsardzības likuma 29. pants u.c. vienības paredz brīdinājumu arī kā soda veidu, līdz ar to no noteikumu projekta neizriet, kā tieši konkrētajā gadījumā saprotama norāde uz brīdinājumu, vai brīdinājums piemērojams arī brīdinājuma kā soda piemērošanas gadījumā, kā arī kā tieši izpaužas brīdinājums kā tiesiskās sekas noteikumu projekta izpratnē. Attiecīgi lūdzam izvērtēt un precizēt noteikumu projekta 26. punktu vai sniegt pamatotu skaidrojumu par minēto noteikumu projekta anotācijā. Papildus lūdzam noteikumu projekta anotācijas 5. sadaļā skaidrot Eiropas Parlamenta un Padomes 2021. gada 2. decembra Regulas (ES) 2021/2116 par kopējās lauksaimniecības politikas finansēšanu, pārvaldību un uzraudzību un ar ko atceļ Regulu (ES) Nr. 1306/2013 85. panta 2. un 3. punktā ietverto prasību ieviešanu minētajā noteikumu projekta anotācijā, tostarp skaidrot, vai 3. punkta prasības attiecināmas arī uz gadījumiem, kad, piemēram, nosacīta daļēja atbrīvošana no soda netiek piemērota dēļ iemesliem, kas nav tieši saistīta ar to, ka neatbilstībai nav seku vai tās ir nenozīmīgas, piem., ja persona, kuru sauc pie administratīvās atbildības, gada laikā jau bijusi nosacīti daļēji atbrīvota no naudas soda samaksas.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ka: "noteikumu Nr. 198 362. punktā par mākslīgu apstākļu radīšanu jāietver situācija, uzskatot, ka lauksaimnieks ir radījis mākslīgus apstākļus, proti, ja tas nevar iesniegt pierādījumu par saražotās produkcijas realizāciju tirgū vai pārstrādei,</w:t>
            </w:r>
            <w:r w:rsidR="00000000" w:rsidRPr="00000000" w:rsidDel="00000000">
              <w:rPr>
                <w:u w:val="single"/>
                <w:rtl w:val="0"/>
              </w:rPr>
              <w:t xml:space="preserve"> vai programmā "Skolas auglis" vai pierādījumu, ka produkcija pārstrādāta paša saimniecībā</w:t>
            </w:r>
            <w:r w:rsidR="00000000" w:rsidRPr="00000000" w:rsidDel="00000000">
              <w:rPr>
                <w:rtl w:val="0"/>
              </w:rPr>
              <w:t xml:space="preserve">", tomēr vēršam uzmanību, ka noteikumu projekta 22. punkts paredz vienīgi jaunu priekšnoteikumu, kas paredz, ka lauksaimnieks nevar iesniegt pierādījumu par saražotās produkcijas realizāciju tirgū vai pārstrādi, tādējādi lūdzam izvērtēt un salāgot noteikumu projektu ar tā anotāciju. Papildus lūdzam papildināt un anotācijā izvērsti skaidrot konkrētā regulējuma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ka: "LLVS 6. standarts nosaka minimālā augsnes seguma nodrošināšanu visjutīgākajos periodos. Noteikumos Nr. 198 tika paredzēts izņēmums, ka LLVS 6. standarta prasības varēja neattiecināt uz platībām, kurās tikai pēc 1. septembra ir novākta dārzeņu, kartupeļu un biešu raža". Saistībā ar minēto lūdzam noteikumu projekta anotācijā pamatot ar noteikumu projektu noteiktā precizētā izņēmuma atbilstību LLVS 6. standartam.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Saskaņā ar </w:t>
            </w:r>
            <w:r w:rsidR="00000000" w:rsidRPr="00000000" w:rsidDel="00000000">
              <w:rPr>
                <w:rtl w:val="0"/>
              </w:rPr>
              <w:t xml:space="preserve">regulas 2022/126 48. panta 1. punktu</w:t>
            </w:r>
            <w:r w:rsidR="00000000" w:rsidRPr="00000000" w:rsidDel="00000000">
              <w:rPr>
                <w:rtl w:val="0"/>
              </w:rPr>
              <w:t xml:space="preserve"> ilggadīgo zālāju īpatsvara atsauces rādītājs ir 22,86 procenti, 2024. gada kopējo ilggadīgo zālāju platību – 404 697 hektārus – dalot ar kopējo lauksaimniecības zemes platību – 1 770 057 hektāriem.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attiecīgās regulas 48. panta 1.a punkts paredz: " ja 1. punkta otrās daļas a) apakšpunktā minētā ilggadīgo zālāju platība samazinājusies sakarā ar strukturālām izmaiņām, ko dalībvalsts lauksaimniecības sistēmās izraisījis ievērojams lauksaimniecības dzīvnieku skaita kritums, kura rezultātā minētajā dalībvalstī ievērojami kritusies arī vajadzība pēc šo dzīvnieku barības un ganībām, attiecīgā dalībvalsts </w:t>
            </w:r>
            <w:r w:rsidR="00000000" w:rsidRPr="00000000" w:rsidDel="00000000">
              <w:rPr>
                <w:u w:val="single"/>
                <w:rtl w:val="0"/>
              </w:rPr>
              <w:t xml:space="preserve">2023.–2027. gada plānošanas periodā var vienu reizi koriģēt</w:t>
            </w:r>
            <w:r w:rsidR="00000000" w:rsidRPr="00000000" w:rsidDel="00000000">
              <w:rPr>
                <w:rtl w:val="0"/>
              </w:rPr>
              <w:t xml:space="preserve"> saskaņā ar 1. punktu noteikto atsauces īpatsvaru un tādējādi ņemt vērā ilggadīgo zālāju platības samazināšanos." Saistībā ar minēto lūdzam skaidrot, vai konkrētā iespēja koriģēt nav jau izmantota ar Ministru kabineta 2025. gada 18. marta noteikumi Nr. 177 "Grozījumi Ministru kabineta 2023. gada 18. aprīļa noteikumos Nr. 198 "Tiešo maksājumu piešķiršanas kārtība lauksaimniekiem"". Kā arī lūdzam noteikumu projekta anotācijā skaidrot pamatojumu konkrētajai ilggadīgo zālāju īpatsvara atsauces rādītāja vērtībai un pamatojumu 2024. gada kopējo ilggadīgo zālāju platības izmantošanai minētā rādītāja aprēķināšanai.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Saskaņā ar </w:t>
            </w:r>
            <w:r w:rsidR="00000000" w:rsidRPr="00000000" w:rsidDel="00000000">
              <w:rPr>
                <w:rtl w:val="0"/>
              </w:rPr>
              <w:t xml:space="preserve">regulas 2022/126 48. panta 1. punktu</w:t>
            </w:r>
            <w:r w:rsidR="00000000" w:rsidRPr="00000000" w:rsidDel="00000000">
              <w:rPr>
                <w:rtl w:val="0"/>
              </w:rPr>
              <w:t xml:space="preserve"> ilggadīgo zālāju īpatsvara atsauces rādītājs ir 22,86 procenti, 2024. gada kopējo ilggadīgo zālāju platību – 404 697 hektārus – dalot ar kopējo lauksaimniecības zemes platību – 1 770 057 hektāriem.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 Kultūraugu dažādošanu nodrošina ar atšķirīgas ģints kultūraugu vai atšķirīgu kultūraugu audzēšanu. Audzējot kultūraugus, kas pieder pie kādas no krustziežu (</w:t>
            </w:r>
            <w:r w:rsidR="00000000" w:rsidRPr="00000000" w:rsidDel="00000000">
              <w:rPr>
                <w:i w:val="1"/>
                <w:rtl w:val="0"/>
              </w:rPr>
              <w:t xml:space="preserve">Brassicaceae</w:t>
            </w:r>
            <w:r w:rsidR="00000000" w:rsidRPr="00000000" w:rsidDel="00000000">
              <w:rPr>
                <w:rtl w:val="0"/>
              </w:rPr>
              <w:t xml:space="preserve">), nakteņu (</w:t>
            </w:r>
            <w:r w:rsidR="00000000" w:rsidRPr="00000000" w:rsidDel="00000000">
              <w:rPr>
                <w:i w:val="1"/>
                <w:rtl w:val="0"/>
              </w:rPr>
              <w:t xml:space="preserve">Solanaceae</w:t>
            </w:r>
            <w:r w:rsidR="00000000" w:rsidRPr="00000000" w:rsidDel="00000000">
              <w:rPr>
                <w:rtl w:val="0"/>
              </w:rPr>
              <w:t xml:space="preserve">), ķirbju (</w:t>
            </w:r>
            <w:r w:rsidR="00000000" w:rsidRPr="00000000" w:rsidDel="00000000">
              <w:rPr>
                <w:i w:val="1"/>
                <w:rtl w:val="0"/>
              </w:rPr>
              <w:t xml:space="preserve">Cucurbitaceae</w:t>
            </w:r>
            <w:r w:rsidR="00000000" w:rsidRPr="00000000" w:rsidDel="00000000">
              <w:rPr>
                <w:rtl w:val="0"/>
              </w:rPr>
              <w:t xml:space="preserve">), tauriņziežu (</w:t>
            </w:r>
            <w:r w:rsidR="00000000" w:rsidRPr="00000000" w:rsidDel="00000000">
              <w:rPr>
                <w:i w:val="1"/>
                <w:rtl w:val="0"/>
              </w:rPr>
              <w:t xml:space="preserve">Leguminosae</w:t>
            </w:r>
            <w:r w:rsidR="00000000" w:rsidRPr="00000000" w:rsidDel="00000000">
              <w:rPr>
                <w:rtl w:val="0"/>
              </w:rPr>
              <w:t xml:space="preserve">) un balandu (</w:t>
            </w:r>
            <w:r w:rsidR="00000000" w:rsidRPr="00000000" w:rsidDel="00000000">
              <w:rPr>
                <w:i w:val="1"/>
                <w:rtl w:val="0"/>
              </w:rPr>
              <w:t xml:space="preserve">Chenopodiaceae</w:t>
            </w:r>
            <w:r w:rsidR="00000000" w:rsidRPr="00000000" w:rsidDel="00000000">
              <w:rPr>
                <w:rtl w:val="0"/>
              </w:rPr>
              <w:t xml:space="preserve">) dzimtas, par atšķirīgiem kultūraugiem uzskatāmi pie vienas sugas vai apakšsugas piederoši kultūraugi. Ziemāju kultūraugus un vasarāju kultūraugus uzskata par atšķirīgiem, pat ja tie pieder pie vienas ģints. Atšķirīgu kultūraugu saraksts dots šo noteikumu </w:t>
            </w:r>
            <w:r w:rsidR="00000000" w:rsidRPr="00000000" w:rsidDel="00000000">
              <w:rPr>
                <w:rtl w:val="0"/>
              </w:rPr>
              <w:t xml:space="preserve">12.</w:t>
            </w:r>
            <w:r w:rsidR="00000000" w:rsidRPr="00000000" w:rsidDel="00000000">
              <w:rPr>
                <w:rtl w:val="0"/>
              </w:rPr>
              <w:t xml:space="preserve"> pielikumā</w:t>
            </w:r>
            <w:r w:rsidR="00000000" w:rsidRPr="00000000" w:rsidDel="00000000">
              <w:rPr>
                <w:rtl w:val="0"/>
              </w:rPr>
              <w:t xml:space="preserve">. Papuve, stiebrzāles un citi lopbarības zālaugi uzskatāmi par atšķirīgu kultūraugu.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3. punkts, kas paredz, ka kultūraugu dažādošanu nodrošina ar dažādu kultūraugu audzēšanu, nav pretrunā ar 5. punktu, kas paredz, ka minēto nodrošina arī ar atšķirīgas ģints kultūraugu audzēšanu, nepieciešamības gadījumā salāgojot minētās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3. punktā ir atrunāta kultūraugu maiņas un kultūraugu dažādošanas pamatnosacījumi. savukārt noteikumu projekta 5. punktā tiek papildus skaidrots, kas ir atsevišķs kultūraugs, ar ko var izpildīt 3. punkta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 Piemērojot prasību par kultūraugu dažādošanu, atšķirīgs kultūraugs ir atšķirīgai ģintij piederošs kultūraugs. Audzējot kultūraugus, kas pieder pie kādas no krustziežu (</w:t>
            </w:r>
            <w:r w:rsidR="00000000" w:rsidRPr="00000000" w:rsidDel="00000000">
              <w:rPr>
                <w:i w:val="1"/>
                <w:rtl w:val="0"/>
              </w:rPr>
              <w:t xml:space="preserve">Brassicaceae</w:t>
            </w:r>
            <w:r w:rsidR="00000000" w:rsidRPr="00000000" w:rsidDel="00000000">
              <w:rPr>
                <w:rtl w:val="0"/>
              </w:rPr>
              <w:t xml:space="preserve">), nakteņu (</w:t>
            </w:r>
            <w:r w:rsidR="00000000" w:rsidRPr="00000000" w:rsidDel="00000000">
              <w:rPr>
                <w:i w:val="1"/>
                <w:rtl w:val="0"/>
              </w:rPr>
              <w:t xml:space="preserve">Solanaceae</w:t>
            </w:r>
            <w:r w:rsidR="00000000" w:rsidRPr="00000000" w:rsidDel="00000000">
              <w:rPr>
                <w:rtl w:val="0"/>
              </w:rPr>
              <w:t xml:space="preserve">), ķirbju (</w:t>
            </w:r>
            <w:r w:rsidR="00000000" w:rsidRPr="00000000" w:rsidDel="00000000">
              <w:rPr>
                <w:i w:val="1"/>
                <w:rtl w:val="0"/>
              </w:rPr>
              <w:t xml:space="preserve">Cucurbitaceae</w:t>
            </w:r>
            <w:r w:rsidR="00000000" w:rsidRPr="00000000" w:rsidDel="00000000">
              <w:rPr>
                <w:rtl w:val="0"/>
              </w:rPr>
              <w:t xml:space="preserve">), tauriņziežu (</w:t>
            </w:r>
            <w:r w:rsidR="00000000" w:rsidRPr="00000000" w:rsidDel="00000000">
              <w:rPr>
                <w:i w:val="1"/>
                <w:rtl w:val="0"/>
              </w:rPr>
              <w:t xml:space="preserve">Leguminosae</w:t>
            </w:r>
            <w:r w:rsidR="00000000" w:rsidRPr="00000000" w:rsidDel="00000000">
              <w:rPr>
                <w:rtl w:val="0"/>
              </w:rPr>
              <w:t xml:space="preserve">) un balandu (</w:t>
            </w:r>
            <w:r w:rsidR="00000000" w:rsidRPr="00000000" w:rsidDel="00000000">
              <w:rPr>
                <w:i w:val="1"/>
                <w:rtl w:val="0"/>
              </w:rPr>
              <w:t xml:space="preserve">Chenopodiaceae</w:t>
            </w:r>
            <w:r w:rsidR="00000000" w:rsidRPr="00000000" w:rsidDel="00000000">
              <w:rPr>
                <w:rtl w:val="0"/>
              </w:rPr>
              <w:t xml:space="preserve">) dzimtas, par atšķirīgiem kultūraugiem uzskatāmi pie vienas sugas vai apakšsugas piederoši kultūraugi. Ziemāju kultūraugus un vasarāju kultūraugus uzskata par atšķirīgiem, pat ja tie pieder pie vienas ģints. Atšķirīgu kultūraugu saraksts dots šo noteikumu </w:t>
            </w:r>
            <w:r w:rsidR="00000000" w:rsidRPr="00000000" w:rsidDel="00000000">
              <w:rPr>
                <w:rtl w:val="0"/>
              </w:rPr>
              <w:t xml:space="preserve">12.</w:t>
            </w:r>
            <w:r w:rsidR="00000000" w:rsidRPr="00000000" w:rsidDel="00000000">
              <w:rPr>
                <w:rtl w:val="0"/>
              </w:rPr>
              <w:t xml:space="preserve"> pielikumā</w:t>
            </w:r>
            <w:r w:rsidR="00000000" w:rsidRPr="00000000" w:rsidDel="00000000">
              <w:rPr>
                <w:rtl w:val="0"/>
              </w:rPr>
              <w:t xml:space="preserve">. Papuve, stiebrzāles un citi lopbarības zālaugi uzskatāmi par atšķirīgu kultūraugu.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25-TA-2289</w:t>
    </w:r>
    <w:r>
      <w:br/>
    </w:r>
    <w:r w:rsidR="00000000" w:rsidRPr="00000000" w:rsidDel="00000000">
      <w:rPr>
        <w:rtl w:val="0"/>
      </w:rPr>
      <w:t xml:space="preserve">04.02.2026. 14.32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25-TA-2289</w:t>
    </w:r>
    <w:r>
      <w:br/>
    </w:r>
    <w:r w:rsidR="00000000" w:rsidRPr="00000000" w:rsidDel="00000000">
      <w:rPr>
        <w:rtl w:val="0"/>
      </w:rPr>
      <w:t xml:space="preserve">04.02.2026. 14.32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Izziņa_25-TA-2289.docx</dc:title>
</cp:coreProperties>
</file>

<file path=docProps/custom.xml><?xml version="1.0" encoding="utf-8"?>
<Properties xmlns="http://schemas.openxmlformats.org/officeDocument/2006/custom-properties" xmlns:vt="http://schemas.openxmlformats.org/officeDocument/2006/docPropsVTypes"/>
</file>