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18. jūnija noteikumos Nr. 381 "Āfrikas cūku mēra uzliesmojuma likvidēšanas un draudu novēršanas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(20.06.2024.)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27.01.2026. 15:07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apakšsadaļā sniegt pilnīgu informāciju par projekta atbilstība Eiropas Savienības tiesību aktiem. Vēršam uzmanību, ka arī, piemēram, no Komisijas 2023. gada 16. marta Īstenošanas regulas (ES) 2023/594, ar ko nosaka īpašus slimības kontroles pasākumus attiecībā uz Āfrikas cūku mēri un atceļ Īstenošanas regulu (ES) 2021/605, 35. panta 1. punkta izriet rīcības brīvības dalībvalstij, tās kompetentajai iestādei, kas "</w:t>
            </w:r>
            <w:r w:rsidR="00000000" w:rsidRPr="00000000" w:rsidDel="00000000">
              <w:rPr>
                <w:i w:val="1"/>
                <w:rtl w:val="0"/>
              </w:rPr>
              <w:t xml:space="preserve">var atļaut no II līmeņa ierobežojumu zonā turētām cūkām iegūtu reproduktīvo produktu sūtījumu pārvietošanu no apstiprināta reproduktīvo produktu objekta, kas atrodas II līmeņa ierobežojumu zonā, uz II vai III līmeņa ierobežojumu zonām citas attiecīgās dalībvalsts teritorijā [..]</w:t>
            </w:r>
            <w:r w:rsidR="00000000" w:rsidRPr="00000000" w:rsidDel="00000000">
              <w:rPr>
                <w:rtl w:val="0"/>
              </w:rPr>
              <w:t xml:space="preserve">", par kuras izmantošanu vai neizmantošanu nepieciešams sniegt pamatotu skaidrojumu anotācijas 5.4.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aprēķinu skaidrojumu sadaļā atzīmētie punkti, par kuriem veikts administratīvā sloga aprēķins, nesatur informācijas sniegšanas pienākumus vai atbilstības prasības valsts vai pašvaldību institūcijām, lūdzam veiktos aprēķinus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Regulas </w:t>
            </w:r>
            <w:r w:rsidR="00000000" w:rsidRPr="00000000" w:rsidDel="00000000">
              <w:rPr>
                <w:rtl w:val="0"/>
              </w:rPr>
              <w:t xml:space="preserve">2023/594</w:t>
            </w:r>
            <w:r w:rsidR="00000000" w:rsidRPr="00000000" w:rsidDel="00000000">
              <w:rPr>
                <w:rtl w:val="0"/>
              </w:rPr>
              <w:t xml:space="preserve"> 49. panta 1. un 2. punktā noteiktos aizliegumus nepiemēro attiecībā uz: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6. punktu (Ministru kabineta 2024. gada 18. jūnija noteikumu Nr. 381 "Āfrikas cūku mēra uzliesmojuma likvidēšanas un draudu novēršanas kārtība" 34.1. apakšpunkts), precizējot atsauci uz Komisijas 2023. gada 16. marta Īstenošanas regulas (ES) 2023/594, ar ko nosaka īpašus slimības kontroles pasākumus attiecībā uz Āfrikas cūku mēri un atceļ Īstenošanas regulu (ES) 2021/605, vienību. Proti, atsaukties atsevišķi uz regulas 51. panta 1. punktā noteiktajām zonām un 51. panta 2. punktā noteiktajām prasībām, pie kādām šī atkāpe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papildinājumus projekta 6. punktā, skaidrojam,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izmantojot dalībvalstīm paredzēto rīcības brīvību, nepieciešams pārrakstīt Regulas normas, lūdzam tās pārrakstīt identiski un papildus anotācijā skaidrot nepieciešamību veikt Regulas teksta daļu pārrakstīšanu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Regulas </w:t>
            </w:r>
            <w:r w:rsidR="00000000" w:rsidRPr="00000000" w:rsidDel="00000000">
              <w:rPr>
                <w:rtl w:val="0"/>
              </w:rPr>
              <w:t xml:space="preserve">2023/594</w:t>
            </w:r>
            <w:r w:rsidR="00000000" w:rsidRPr="00000000" w:rsidDel="00000000">
              <w:rPr>
                <w:rtl w:val="0"/>
              </w:rPr>
              <w:t xml:space="preserve"> 49. panta 1. un 2. punktā noteiktos aizliegumus nepiemēro attiecībā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sadedzina vai aprok teritorijā, kurā tie iegūti, vai citā vietā, ja izpildās regulas </w:t>
            </w:r>
            <w:r w:rsidR="00000000" w:rsidRPr="00000000" w:rsidDel="00000000">
              <w:rPr>
                <w:rtl w:val="0"/>
              </w:rPr>
              <w:t xml:space="preserve">1069/2009</w:t>
            </w:r>
            <w:r w:rsidR="00000000" w:rsidRPr="00000000" w:rsidDel="00000000">
              <w:rPr>
                <w:rtl w:val="0"/>
              </w:rPr>
              <w:t xml:space="preserve"> 19. panta 1. punkta "e" apakšpunkta nosacījumi, ievērojot regulas </w:t>
            </w:r>
            <w:r w:rsidR="00000000" w:rsidRPr="00000000" w:rsidDel="00000000">
              <w:rPr>
                <w:rtl w:val="0"/>
              </w:rPr>
              <w:t xml:space="preserve">142/2011</w:t>
            </w:r>
            <w:r w:rsidR="00000000" w:rsidRPr="00000000" w:rsidDel="00000000">
              <w:rPr>
                <w:rtl w:val="0"/>
              </w:rPr>
              <w:t xml:space="preserve"> 15. panta pirmās daļas "a" apakšpunktā un VI pielikuma III nodaļas 1. iedaļā noteiktās prasības, ja dienests ir pieņēmis lēmumu par dzīvnieku izcelsmes blakusproduktu šāda veida likvidēšanu. Ja dienests pieņem lēmumu par turēto cūku izcelsmes blakusproduktu aprakšanu, lēmumā norāda aprakšanas vietu, kas iepriekš saskaņota ar Valsts vides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8. punkta pēdējo teikumu. Atbilstoši anotācijai, pamatojoties uz projekta 8. punktu, operatoram nepieciešams saskaņot ar Valsts vides dienestu turēto cūku izcelsmes blakusproduktu aprakšanas vietu. Taču no projekta redakcijas izriet, ka šādas vietas jau iepriekš ir saskaņotas ar Valsts vides dienestu un nepieciešams vienkārši turēto cūku izcelsmes blakusproduktu aprakšanas vietu norādīt lēmumā. Netiek noteikts vai skaidrots operatora vai cita subjekta pienākums aprakšanas vietas saskaņot, kā arī pamatojoties uz kādām tiesību normām un kā tas tiek veikts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sadedzina vai aprok teritorijā, kurā tie iegūti, vai citā vietā, ja izpildās regulas </w:t>
            </w:r>
            <w:r w:rsidR="00000000" w:rsidRPr="00000000" w:rsidDel="00000000">
              <w:rPr>
                <w:rtl w:val="0"/>
              </w:rPr>
              <w:t xml:space="preserve">1069/2009</w:t>
            </w:r>
            <w:r w:rsidR="00000000" w:rsidRPr="00000000" w:rsidDel="00000000">
              <w:rPr>
                <w:rtl w:val="0"/>
              </w:rPr>
              <w:t xml:space="preserve"> 19. panta 1. punkta "e" apakšpunkta nosacījumi, ievērojot regulas </w:t>
            </w:r>
            <w:r w:rsidR="00000000" w:rsidRPr="00000000" w:rsidDel="00000000">
              <w:rPr>
                <w:rtl w:val="0"/>
              </w:rPr>
              <w:t xml:space="preserve">142/2011</w:t>
            </w:r>
            <w:r w:rsidR="00000000" w:rsidRPr="00000000" w:rsidDel="00000000">
              <w:rPr>
                <w:rtl w:val="0"/>
              </w:rPr>
              <w:t xml:space="preserve"> 15. panta pirmās daļas "a" apakšpunktā un VI pielikuma III nodaļas 1. iedaļā noteiktās prasības, ja dienests ir pieņēmis lēmumu par dzīvnieku izcelsmes blakusproduktu šāda veida likvidēšanu. Ja dienests pieņem lēmumu par turēto cūku izcelsmes blakusproduktu aprakšanu, lēmumā norāda aprakšanas vietu, kuru operators iepriekš saskaņojis ar Valsts vides dienestu atbilstoši vides aizsardzības jomu regulējošajiem normatīvajiem aktiem;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13.01.2026. 16:11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6.problēmas aprakstu atbilstoši Ministru kabineta 17.12.2024.rīkojumam Nr.1191 "Par Vides pārraudzības valsts biroja un Būvniecības valsts kontroles biroja reorganizāciju" un Ministru kabineta 26.08.2025.rīkojumam Nr.533 "Par Enerģētikas un vides aģentūras pievienošanu Valsts vides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sadedzina vai aprok teritorijā, kurā tie iegūti, vai citā vietā, ja izpildās regulas </w:t>
            </w:r>
            <w:r w:rsidR="00000000" w:rsidRPr="00000000" w:rsidDel="00000000">
              <w:rPr>
                <w:rtl w:val="0"/>
              </w:rPr>
              <w:t xml:space="preserve">1069/2009</w:t>
            </w:r>
            <w:r w:rsidR="00000000" w:rsidRPr="00000000" w:rsidDel="00000000">
              <w:rPr>
                <w:rtl w:val="0"/>
              </w:rPr>
              <w:t xml:space="preserve"> 19. panta 1. punkta "e" apakšpunkta nosacījumi, ievērojot regulas </w:t>
            </w:r>
            <w:r w:rsidR="00000000" w:rsidRPr="00000000" w:rsidDel="00000000">
              <w:rPr>
                <w:rtl w:val="0"/>
              </w:rPr>
              <w:t xml:space="preserve">142/2011</w:t>
            </w:r>
            <w:r w:rsidR="00000000" w:rsidRPr="00000000" w:rsidDel="00000000">
              <w:rPr>
                <w:rtl w:val="0"/>
              </w:rPr>
              <w:t xml:space="preserve"> 15. panta pirmās daļas "a" apakšpunktā un VI pielikuma III nodaļas 1. iedaļā noteiktās prasības, ja dienests ir pieņēmis lēmumu par dzīvnieku izcelsmes blakusproduktu šāda veida likvidēšanu. Ja turēto cūku izcelsmes blakusproduktus nolemj aprakt, operators aprakšanas vietu saskaņo ar Valsts vides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turēto cūku izcelsmes blakusproduktus nolemj aprakt, operators aprakšanas vietu saskaņo ar Valsts vides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dienests ir pieņēmis lēmumu par cūku izcelsmes blakusproduktu aprakšanu, lēmumā jānorāda aprakšanas vieta, kas iepriekš saskaņota ar Valsts vides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punkts (noteikumu 35.2.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sadedzina vai aprok teritorijā, kurā tie iegūti, vai citā vietā, ja izpildās regulas </w:t>
            </w:r>
            <w:r w:rsidR="00000000" w:rsidRPr="00000000" w:rsidDel="00000000">
              <w:rPr>
                <w:rtl w:val="0"/>
              </w:rPr>
              <w:t xml:space="preserve">1069/2009</w:t>
            </w:r>
            <w:r w:rsidR="00000000" w:rsidRPr="00000000" w:rsidDel="00000000">
              <w:rPr>
                <w:rtl w:val="0"/>
              </w:rPr>
              <w:t xml:space="preserve"> 19. panta 1. punkta "e" apakšpunkta nosacījumi, ievērojot regulas </w:t>
            </w:r>
            <w:r w:rsidR="00000000" w:rsidRPr="00000000" w:rsidDel="00000000">
              <w:rPr>
                <w:rtl w:val="0"/>
              </w:rPr>
              <w:t xml:space="preserve">142/2011</w:t>
            </w:r>
            <w:r w:rsidR="00000000" w:rsidRPr="00000000" w:rsidDel="00000000">
              <w:rPr>
                <w:rtl w:val="0"/>
              </w:rPr>
              <w:t xml:space="preserve"> 15. panta pirmās daļas "a" apakšpunktā un VI pielikuma III nodaļas 1. iedaļā noteiktās prasības, ja dienests ir pieņēmis lēmumu par dzīvnieku izcelsmes blakusproduktu šāda veida likvidēšanu. Ja dienests pieņem lēmumu par turēto cūku izcelsmes blakusproduktu aprakšanu, lēmumā norāda aprakšanas vietu, kuru operators iepriekš saskaņojis ar Valsts vides dienestu atbilstoši vides aizsardzības jomu regulējošajiem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sniegt skaidrojumu, vai saistībā ar noteikumu projekta 2. un 3.punktā iekļautiem grozījumiem, kuru rezultātā nebūs nepieciešams izsniegt un medniekiem attiecīgi saņemt Pārtikas un veterinārā dienesta atļauju, veidosies finansējuma ietaupījums Zemkopības ministrijas budžetā par plānotajiem Āfrikas cūku mēra uzraudzības un kontroles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Vadlīnijās tiesību akta sākotnējās ietekmes novērtēšanai un novērtējuma ziņojuma sagatavošanai vienotajā TAP portālā noteiktajam, lūdzam administratīvo izmaksu novērtējuma skaidrojuma sadaļā norādīt, kuri noteikumu punkti un apakšpunkti nosaka informācijas sniegšanas pienākumus un uz kuriem attiecas veiktais aprēķins.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aprēķina skaidrojuma sadaļu ar informāciju, kā aprēķins ir veidots, atspoguļojot faktiskās izmaiņas salīdzinājumā ar iepriekšējo regulējumu (iepriekšējās darbības un turpmākās operatora darbības), kā arī sniegt pamatojumu aprēķinā izmantotajam subjektu skaitam un izvēlei aprēķinu veikt vienam subjektam.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Vadlīnijās tiesību akta sākotnējās ietekmes novērtēšanai un novērtējuma ziņojuma sagatavošanai vienotajā TAP portālā noteiktajam, lūdzam administratīvo izmaksu novērtējuma skaidrojuma sadaļā norādīt, kuri noteikumu punkti un apakšpunkti nosaka informācijas sniegšanas pienākumus un uz kuriem attiecas veiktais aprēķins.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aprēķina skaidrojuma sadaļu ar informāciju, kā aprēķins ir veidots, proti, nav saprotams, kāpēc skaidrojuma sadaļā ir norādīts, ka gada laikā dienestā atļauju medījuma laišanai pārtikas apritē ir saņēmuši apmēram 200 mednieku, bet vērtībās ir norādīti 100 mednieki.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veikts par noteikumu Nr. 381 22. punktā noteiktās prasības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apakšsadaļā sniegt pilnīgu informāciju par projekta atbilstība Eiropas Savienības tiesību aktiem. Vēršam uzmanību, ka arī no Komisijas 2023. gada 16. marta Īstenošanas regulas (ES) 2023/594, ar ko nosaka īpašus slimības kontroles pasākumus attiecībā uz Āfrikas cūku mēri un atceļ Īstenošanas regulu (ES) 2021/605, 44. panta 2. punkta izriet rīcības brīvības dalībvalstij, tās kompetentajai iestādei, kas "</w:t>
            </w:r>
            <w:r w:rsidR="00000000" w:rsidRPr="00000000" w:rsidDel="00000000">
              <w:rPr>
                <w:i w:val="1"/>
                <w:rtl w:val="0"/>
              </w:rPr>
              <w:t xml:space="preserve">var nolemt, ka 1. punktā minēto izraudzīšanos var nepiemērot objektiem, kuros pārstrādā, sadala un uzglabā tādu svaigu gaļu un gaļas produktus, arī apvalkus, kas iegūti no II vai III līmeņa ierobežojumu zonās turētām cūkām un no I, II vai III līmeņa ierobežojumu zonās iegūtām savvaļas cūkām, un objektiem, kas minēti 1. punkta d) apakšpunktā</w:t>
            </w:r>
            <w:r w:rsidR="00000000" w:rsidRPr="00000000" w:rsidDel="00000000">
              <w:rPr>
                <w:rtl w:val="0"/>
              </w:rPr>
              <w:t xml:space="preserve">, [..]</w:t>
            </w:r>
            <w:r w:rsidR="00000000" w:rsidRPr="00000000" w:rsidDel="00000000">
              <w:rPr>
                <w:rtl w:val="0"/>
              </w:rPr>
              <w:t xml:space="preserve">", par kuras izmantošanu vai neizmantošanu nepieciešams sniegt pamatotu skaidrojumu anotācijas 5.4.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 noteikumu projekta izstrādē tika iesaistītas biedrība "Lauksaimniecības organizāciju sadarbības padome", biedrība "Zemnieku saeima" un biedrība "Latvijas cūku audzētāju asociācija"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aprēķina skaidrojuma sadaļu ar informāciju, kā aprēķins ir veidots, proti, nav saprotams, kāpēc skaidrojuma sadaļā ir norādīts, ka gada laikā dienestā atļauju medījuma laišanai pārtikas apritē ir saņēmuši apmēram 200 mednieku, bet vērtībās ir norādīti 100 mednieki.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Aizliegumu pārvietot I, II un III līmeņa ierobežojumu zonās un ārpus šīm zonām, kā arī visā Latvijas teritorijā no savvaļas cūkām un šādu cūku ķermeņiem iegūtu, lietošanai pārtikā paredzētu svaigu gaļu, gaļas produktus un jebkurus citus šo dzīvnieku izcelsmes produktus, kā arī dzīvnieku izcelsmes blakusproduktus un atvasinātos produktus nepiemēro regulas </w:t>
            </w:r>
            <w:r w:rsidR="00000000" w:rsidRPr="00000000" w:rsidDel="00000000">
              <w:rPr>
                <w:rtl w:val="0"/>
              </w:rPr>
              <w:t xml:space="preserve">2023/594</w:t>
            </w:r>
            <w:r w:rsidR="00000000" w:rsidRPr="00000000" w:rsidDel="00000000">
              <w:rPr>
                <w:rtl w:val="0"/>
              </w:rPr>
              <w:t xml:space="preserve"> 49. pantā minētajos gadījumos, ja nodrošināta tās 51., 52. vai 54. pantā noteikto prasību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grozīto noteikumu 34. punkts precīzi ievieš uz to attiecināmās attiecīgās regulas prasības. Proti, atbilstoši projektam tiek izmantots izņēmums "</w:t>
            </w:r>
            <w:r w:rsidR="00000000" w:rsidRPr="00000000" w:rsidDel="00000000">
              <w:rPr>
                <w:i w:val="1"/>
                <w:u w:val="single"/>
                <w:rtl w:val="0"/>
              </w:rPr>
              <w:t xml:space="preserve">aizliegumam pārvietot I, II un III līmeņa ierobežojumu zonās un ārpus šīm zonām, kā arī visā Latvijas teritorijā,</w:t>
            </w:r>
            <w:r w:rsidR="00000000" w:rsidRPr="00000000" w:rsidDel="00000000">
              <w:rPr>
                <w:rtl w:val="0"/>
              </w:rPr>
              <w:t xml:space="preserve">  taču atbilstoši, piemēram, minētās regulas 54. panta 1. punktam noteikta atkāpe arī no aizlieguma pārvietot "[..] </w:t>
            </w:r>
            <w:r w:rsidR="00000000" w:rsidRPr="00000000" w:rsidDel="00000000">
              <w:rPr>
                <w:i w:val="1"/>
                <w:rtl w:val="0"/>
              </w:rPr>
              <w:t xml:space="preserve">I, II un III līmeņa ierobežojumu zonās un ārpus minētajām ierobežojumu zonām uz citām I, II un III līmeņa ierobežojumu zonām vai uz apgabaliem ārpus I, II un III līmeņa ierobežojumu zonām tajā pašā dalībvalstī un uz citām dalībvalstīm [..]</w:t>
            </w:r>
            <w:r w:rsidR="00000000" w:rsidRPr="00000000" w:rsidDel="00000000">
              <w:rPr>
                <w:rtl w:val="0"/>
              </w:rPr>
              <w:t xml:space="preserve">". Alternatīvi lūdzam izvērst skaidrojumu anotācijā par ar 34. punktu izmantoto rīcības brīvību.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punkts (noteikumu 34.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Regulas </w:t>
            </w:r>
            <w:r w:rsidR="00000000" w:rsidRPr="00000000" w:rsidDel="00000000">
              <w:rPr>
                <w:rtl w:val="0"/>
              </w:rPr>
              <w:t xml:space="preserve">2023/594</w:t>
            </w:r>
            <w:r w:rsidR="00000000" w:rsidRPr="00000000" w:rsidDel="00000000">
              <w:rPr>
                <w:rtl w:val="0"/>
              </w:rPr>
              <w:t xml:space="preserve"> 49. panta 1. un 2. punktā noteiktos aizliegumus nepiemēro attiecībā uz:</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25-TA-2137</w:t>
    </w:r>
    <w:r>
      <w:br/>
    </w:r>
    <w:r w:rsidR="00000000" w:rsidRPr="00000000" w:rsidDel="00000000">
      <w:rPr>
        <w:rtl w:val="0"/>
      </w:rPr>
      <w:t xml:space="preserve">09.02.2026. 13.35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25-TA-2137</w:t>
    </w:r>
    <w:r>
      <w:br/>
    </w:r>
    <w:r w:rsidR="00000000" w:rsidRPr="00000000" w:rsidDel="00000000">
      <w:rPr>
        <w:rtl w:val="0"/>
      </w:rPr>
      <w:t xml:space="preserve">09.02.2026. 13.35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Izziņa_25-TA-2137.docx</dc:title>
</cp:coreProperties>
</file>

<file path=docProps/custom.xml><?xml version="1.0" encoding="utf-8"?>
<Properties xmlns="http://schemas.openxmlformats.org/officeDocument/2006/custom-properties" xmlns:vt="http://schemas.openxmlformats.org/officeDocument/2006/docPropsVTypes"/>
</file>