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CellMar>
          <w:left w:w="0" w:type="dxa"/>
          <w:right w:w="0" w:type="dxa"/>
        </w:tblCellMar>
        <w:tblLook w:val="00A0" w:firstRow="1" w:lastRow="0" w:firstColumn="1" w:lastColumn="0" w:noHBand="0" w:noVBand="0"/>
      </w:tblPr>
      <w:tblGrid>
        <w:gridCol w:w="5669"/>
        <w:gridCol w:w="3402"/>
      </w:tblGrid>
      <w:tr w:rsidR="00F159B7" w14:paraId="23F41875" w14:textId="77777777" w:rsidTr="00F159B7">
        <w:tc>
          <w:tcPr>
            <w:tcW w:w="3125" w:type="pct"/>
          </w:tcPr>
          <w:p w14:paraId="2906798F" w14:textId="77777777" w:rsidR="00F159B7" w:rsidRDefault="00F159B7" w:rsidP="00F159B7">
            <w:pPr>
              <w:keepLines/>
              <w:autoSpaceDE w:val="0"/>
              <w:autoSpaceDN w:val="0"/>
              <w:adjustRightInd w:val="0"/>
              <w:spacing w:after="0" w:line="400" w:lineRule="auto"/>
              <w:ind w:right="113"/>
              <w:rPr>
                <w:rFonts w:ascii="Times New Roman" w:hAnsi="Times New Roman" w:cs="Times New Roman"/>
                <w:color w:val="000000"/>
                <w:sz w:val="24"/>
                <w:szCs w:val="24"/>
              </w:rPr>
            </w:pPr>
            <w:r>
              <w:rPr>
                <w:rFonts w:ascii="Times New Roman" w:hAnsi="Times New Roman" w:cs="Times New Roman"/>
                <w:color w:val="000000"/>
                <w:sz w:val="24"/>
                <w:szCs w:val="24"/>
              </w:rPr>
              <w:t>Rīgā</w:t>
            </w:r>
          </w:p>
          <w:p w14:paraId="78722F26" w14:textId="77777777" w:rsidR="00F159B7" w:rsidRDefault="00F159B7" w:rsidP="00F159B7">
            <w:pPr>
              <w:keepLines/>
              <w:autoSpaceDE w:val="0"/>
              <w:autoSpaceDN w:val="0"/>
              <w:adjustRightInd w:val="0"/>
              <w:spacing w:after="0" w:line="240" w:lineRule="auto"/>
              <w:ind w:right="113"/>
              <w:rPr>
                <w:rFonts w:ascii="Times New Roman" w:hAnsi="Times New Roman" w:cs="Times New Roman"/>
                <w:color w:val="000000"/>
                <w:sz w:val="24"/>
                <w:szCs w:val="24"/>
              </w:rPr>
            </w:pPr>
            <w:r>
              <w:rPr>
                <w:rFonts w:ascii="Times New Roman" w:hAnsi="Times New Roman" w:cs="Times New Roman"/>
                <w:color w:val="000000"/>
                <w:sz w:val="24"/>
                <w:szCs w:val="24"/>
              </w:rPr>
              <w:t>Datumu skatīt dokumenta paraksta laika zīmogā.</w:t>
            </w:r>
          </w:p>
          <w:p w14:paraId="4F87BA97" w14:textId="77777777" w:rsidR="00F159B7" w:rsidRDefault="00F159B7" w:rsidP="00F159B7">
            <w:pPr>
              <w:keepLines/>
              <w:autoSpaceDE w:val="0"/>
              <w:autoSpaceDN w:val="0"/>
              <w:adjustRightInd w:val="0"/>
              <w:spacing w:after="0" w:line="240" w:lineRule="auto"/>
              <w:ind w:right="113"/>
              <w:rPr>
                <w:rFonts w:ascii="Times New Roman" w:hAnsi="Times New Roman" w:cs="Times New Roman"/>
                <w:color w:val="000000"/>
                <w:sz w:val="24"/>
                <w:szCs w:val="24"/>
              </w:rPr>
            </w:pPr>
            <w:r>
              <w:rPr>
                <w:rFonts w:ascii="Times New Roman" w:hAnsi="Times New Roman" w:cs="Times New Roman"/>
                <w:color w:val="000000"/>
                <w:sz w:val="24"/>
                <w:szCs w:val="24"/>
              </w:rPr>
              <w:t xml:space="preserve">Reģistrācijas numuru skatīt pievienotajā failā </w:t>
            </w:r>
            <w:proofErr w:type="spellStart"/>
            <w:r>
              <w:rPr>
                <w:rFonts w:ascii="Times New Roman" w:hAnsi="Times New Roman" w:cs="Times New Roman"/>
                <w:color w:val="000000"/>
                <w:sz w:val="24"/>
                <w:szCs w:val="24"/>
              </w:rPr>
              <w:t>Registracijas_numurs</w:t>
            </w:r>
            <w:proofErr w:type="spellEnd"/>
          </w:p>
        </w:tc>
        <w:tc>
          <w:tcPr>
            <w:tcW w:w="1875" w:type="pct"/>
          </w:tcPr>
          <w:p w14:paraId="250E2160" w14:textId="77777777" w:rsidR="00F159B7" w:rsidRDefault="00F159B7" w:rsidP="00F159B7">
            <w:pPr>
              <w:keepLines/>
              <w:autoSpaceDE w:val="0"/>
              <w:autoSpaceDN w:val="0"/>
              <w:adjustRightInd w:val="0"/>
              <w:spacing w:after="0" w:line="240" w:lineRule="auto"/>
              <w:jc w:val="right"/>
              <w:rPr>
                <w:rFonts w:ascii="Times New Roman" w:hAnsi="Times New Roman" w:cs="Times New Roman"/>
                <w:color w:val="000000"/>
                <w:sz w:val="24"/>
                <w:szCs w:val="24"/>
              </w:rPr>
            </w:pPr>
          </w:p>
          <w:p w14:paraId="2A2336A5" w14:textId="77777777" w:rsidR="00F159B7" w:rsidRDefault="00F159B7" w:rsidP="00F159B7">
            <w:pPr>
              <w:keepLines/>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Ekonomikas ministrija</w:t>
            </w:r>
            <w:r>
              <w:rPr>
                <w:rFonts w:ascii="Times New Roman" w:hAnsi="Times New Roman" w:cs="Times New Roman"/>
                <w:color w:val="000000"/>
                <w:sz w:val="24"/>
                <w:szCs w:val="24"/>
              </w:rPr>
              <w:br/>
              <w:t>Brīvības ielā 55</w:t>
            </w:r>
            <w:r>
              <w:rPr>
                <w:rFonts w:ascii="Times New Roman" w:hAnsi="Times New Roman" w:cs="Times New Roman"/>
                <w:color w:val="000000"/>
                <w:sz w:val="24"/>
                <w:szCs w:val="24"/>
              </w:rPr>
              <w:br/>
              <w:t>Rīgā, LV-1519</w:t>
            </w:r>
          </w:p>
        </w:tc>
      </w:tr>
    </w:tbl>
    <w:p w14:paraId="665B030A" w14:textId="77777777" w:rsidR="00F159B7" w:rsidRDefault="00F159B7" w:rsidP="00F159B7">
      <w:pPr>
        <w:autoSpaceDE w:val="0"/>
        <w:autoSpaceDN w:val="0"/>
        <w:adjustRightInd w:val="0"/>
        <w:spacing w:after="0" w:line="240" w:lineRule="auto"/>
        <w:rPr>
          <w:rFonts w:ascii="Times New Roman" w:hAnsi="Times New Roman" w:cs="Times New Roman"/>
          <w:color w:val="000000"/>
          <w:sz w:val="24"/>
          <w:szCs w:val="24"/>
        </w:rPr>
      </w:pPr>
    </w:p>
    <w:tbl>
      <w:tblPr>
        <w:tblW w:w="5000" w:type="pct"/>
        <w:tblCellMar>
          <w:left w:w="0" w:type="dxa"/>
          <w:right w:w="0" w:type="dxa"/>
        </w:tblCellMar>
        <w:tblLook w:val="00A0" w:firstRow="1" w:lastRow="0" w:firstColumn="1" w:lastColumn="0" w:noHBand="0" w:noVBand="0"/>
      </w:tblPr>
      <w:tblGrid>
        <w:gridCol w:w="9071"/>
      </w:tblGrid>
      <w:tr w:rsidR="00F159B7" w14:paraId="5DEC8FF8" w14:textId="77777777" w:rsidTr="00F159B7">
        <w:tc>
          <w:tcPr>
            <w:tcW w:w="5000" w:type="pct"/>
          </w:tcPr>
          <w:p w14:paraId="4C907BDC" w14:textId="77777777" w:rsidR="00F159B7" w:rsidRDefault="00F159B7" w:rsidP="00F159B7">
            <w:pPr>
              <w:keepLine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Par grozījumiem Enerģētikas likumā (VSS-307)</w:t>
            </w:r>
          </w:p>
        </w:tc>
      </w:tr>
    </w:tbl>
    <w:p w14:paraId="575C1042" w14:textId="77777777" w:rsidR="00F159B7" w:rsidRDefault="00F159B7" w:rsidP="00F159B7">
      <w:pPr>
        <w:autoSpaceDE w:val="0"/>
        <w:autoSpaceDN w:val="0"/>
        <w:adjustRightInd w:val="0"/>
        <w:spacing w:after="0" w:line="240" w:lineRule="auto"/>
        <w:jc w:val="both"/>
        <w:rPr>
          <w:rFonts w:ascii="Times New Roman" w:hAnsi="Times New Roman" w:cs="Times New Roman"/>
          <w:color w:val="000000"/>
          <w:sz w:val="24"/>
          <w:szCs w:val="24"/>
        </w:rPr>
      </w:pPr>
    </w:p>
    <w:tbl>
      <w:tblPr>
        <w:tblW w:w="5000" w:type="pct"/>
        <w:tblCellMar>
          <w:left w:w="0" w:type="dxa"/>
          <w:right w:w="0" w:type="dxa"/>
        </w:tblCellMar>
        <w:tblLook w:val="00A0" w:firstRow="1" w:lastRow="0" w:firstColumn="1" w:lastColumn="0" w:noHBand="0" w:noVBand="0"/>
      </w:tblPr>
      <w:tblGrid>
        <w:gridCol w:w="9071"/>
      </w:tblGrid>
      <w:tr w:rsidR="00F159B7" w14:paraId="7055785C" w14:textId="77777777" w:rsidTr="00F159B7">
        <w:tc>
          <w:tcPr>
            <w:tcW w:w="5000" w:type="pct"/>
          </w:tcPr>
          <w:p w14:paraId="01E894CA" w14:textId="77777777" w:rsidR="00F159B7" w:rsidRDefault="00F159B7" w:rsidP="00F159B7">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AS "Sadales tīkls" ir iepazinusies ar 2021.gada 1.aprīlī Valsts sekretāru sanāksmē izsludināto likumprojektu "Grozījumi Enerģētikas likumā" VSS-307 (turpmāk – Likumprojekts) un pateicas Ekonomikas ministrijai par likumprojektā jau iekļautajiem precizējumiem, kurus AS "Sadales tīkls" sniedza publiskās konsultācijas laikā. </w:t>
            </w:r>
          </w:p>
          <w:p w14:paraId="52A0B092" w14:textId="77777777" w:rsidR="00F159B7" w:rsidRDefault="00F159B7" w:rsidP="00F159B7">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Lūdzot atkārtoti izvērtēt atsevišķus elektroenerģijas sadales sistēmai saistošus jautājumus, kas potenciāli var ietekmēt sadales sistēmas darbības izmaksas un ietekmēt atvērtā elektroenerģijas tirgus darbību, AS "Sadales tīkls" sniedz iebildumu un priekšlikumus Likumprojekta pilnveidošanai un precizēšanai. </w:t>
            </w:r>
          </w:p>
          <w:p w14:paraId="79A2AACD" w14:textId="77777777" w:rsidR="00F159B7" w:rsidRDefault="00F159B7" w:rsidP="00F159B7">
            <w:pPr>
              <w:keepLines/>
              <w:autoSpaceDE w:val="0"/>
              <w:autoSpaceDN w:val="0"/>
              <w:adjustRightInd w:val="0"/>
              <w:spacing w:after="0" w:line="240" w:lineRule="auto"/>
              <w:ind w:firstLine="720"/>
              <w:jc w:val="both"/>
              <w:rPr>
                <w:rFonts w:ascii="Times New Roman" w:hAnsi="Times New Roman" w:cs="Times New Roman"/>
                <w:color w:val="000000"/>
                <w:sz w:val="24"/>
                <w:szCs w:val="24"/>
              </w:rPr>
            </w:pPr>
          </w:p>
          <w:p w14:paraId="707F828A" w14:textId="77777777" w:rsidR="00F159B7" w:rsidRDefault="00F159B7" w:rsidP="00F159B7">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ascii="Times New Roman" w:hAnsi="Times New Roman" w:cs="Times New Roman"/>
                <w:color w:val="000000"/>
                <w:sz w:val="24"/>
                <w:szCs w:val="24"/>
              </w:rPr>
              <w:tab/>
              <w:t>Iebildums par vienoto kontaktpunktu enerģijas ražošanas iekārtu ieviešanai (Likumprojekta 40.pants)</w:t>
            </w:r>
          </w:p>
          <w:p w14:paraId="66BFE2F0" w14:textId="77777777" w:rsidR="00F159B7" w:rsidRDefault="00F159B7" w:rsidP="00F159B7">
            <w:pPr>
              <w:keepLines/>
              <w:autoSpaceDE w:val="0"/>
              <w:autoSpaceDN w:val="0"/>
              <w:adjustRightInd w:val="0"/>
              <w:spacing w:after="0" w:line="240" w:lineRule="auto"/>
              <w:ind w:firstLine="720"/>
              <w:jc w:val="both"/>
              <w:rPr>
                <w:rFonts w:ascii="Times New Roman" w:hAnsi="Times New Roman" w:cs="Times New Roman"/>
                <w:color w:val="000000"/>
                <w:sz w:val="24"/>
                <w:szCs w:val="24"/>
              </w:rPr>
            </w:pPr>
          </w:p>
          <w:p w14:paraId="6A72064C" w14:textId="77777777" w:rsidR="00F159B7" w:rsidRDefault="00F159B7" w:rsidP="00F159B7">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Enerģētikas likumu plānots papildināt ar XVIII nodaļu, tajā esošajā 123.panta trešajā daļā paredzot elektroenerģijas sadales sistēmas operatoru noteikt par vienoto kontaktpunktu elektroenerģijas ražošanas iekārtas ar jaudu līdz 11,1 </w:t>
            </w:r>
            <w:proofErr w:type="spellStart"/>
            <w:r>
              <w:rPr>
                <w:rFonts w:ascii="Times New Roman" w:hAnsi="Times New Roman" w:cs="Times New Roman"/>
                <w:color w:val="000000"/>
                <w:sz w:val="24"/>
                <w:szCs w:val="24"/>
              </w:rPr>
              <w:t>kW</w:t>
            </w:r>
            <w:proofErr w:type="spellEnd"/>
            <w:r>
              <w:rPr>
                <w:rFonts w:ascii="Times New Roman" w:hAnsi="Times New Roman" w:cs="Times New Roman"/>
                <w:color w:val="000000"/>
                <w:sz w:val="24"/>
                <w:szCs w:val="24"/>
              </w:rPr>
              <w:t xml:space="preserve"> ieviešanai. AS "Sadales tīkls" savu pozīciju pamato ar vairākiem apsvērumiem:</w:t>
            </w:r>
          </w:p>
          <w:p w14:paraId="33688E24" w14:textId="77777777" w:rsidR="00F159B7" w:rsidRDefault="00F159B7" w:rsidP="00F159B7">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Symbol" w:hAnsi="Symbol" w:cs="Symbol"/>
                <w:color w:val="000000"/>
                <w:sz w:val="24"/>
                <w:szCs w:val="24"/>
              </w:rPr>
              <w:t></w:t>
            </w:r>
            <w:r>
              <w:rPr>
                <w:rFonts w:ascii="Symbol" w:hAnsi="Symbol" w:cs="Symbol"/>
                <w:color w:val="000000"/>
                <w:sz w:val="24"/>
                <w:szCs w:val="24"/>
              </w:rPr>
              <w:tab/>
            </w:r>
            <w:r>
              <w:rPr>
                <w:rFonts w:ascii="Times New Roman" w:hAnsi="Times New Roman" w:cs="Times New Roman"/>
                <w:color w:val="000000"/>
                <w:sz w:val="24"/>
                <w:szCs w:val="24"/>
              </w:rPr>
              <w:t xml:space="preserve">Jau šobrīd elektroenerģijas tirgus attīstības procesā ir izveidojušies vienotie kontaktpunkti </w:t>
            </w:r>
            <w:proofErr w:type="spellStart"/>
            <w:r>
              <w:rPr>
                <w:rFonts w:ascii="Times New Roman" w:hAnsi="Times New Roman" w:cs="Times New Roman"/>
                <w:color w:val="000000"/>
                <w:sz w:val="24"/>
                <w:szCs w:val="24"/>
              </w:rPr>
              <w:t>mikroģenerācijas</w:t>
            </w:r>
            <w:proofErr w:type="spellEnd"/>
            <w:r>
              <w:rPr>
                <w:rFonts w:ascii="Times New Roman" w:hAnsi="Times New Roman" w:cs="Times New Roman"/>
                <w:color w:val="000000"/>
                <w:sz w:val="24"/>
                <w:szCs w:val="24"/>
              </w:rPr>
              <w:t xml:space="preserve"> iekārtu pieslēgšanai – šādu pakalpojumu nodrošina vairāki elektroenerģijas tirgotāji. Konkurences apstākļos tirgotāji meklē un atrod jaunus pakalpojumu veidus, lai pilnveidotu savu piedāvājumu. Šis process attīsta iekšējo elektroenerģijas tirgu un nodrošina iespējami labāko pakalpojuma cenu, kā rezultātā ieguvējs ir klients. Ņemot vērā, ka Latvijas elektroenerģijas tirgus modelī mājsaimniecības klientu apkalpošanā pastāv centriskais modelis, kurā centrālā loma ir elektroenerģijas tirgotājam un pamatā lietotāja komunikācija notiek tieši ar tirgotāju, daļa mājsaimniecības lietotāju iespējams pat precīzi nezina, kura sadales sistēmas operatora licences zonā atrodas attiecīgais lietotāja objekts un kas būtu vienotais kontaktpunkts. AS "Sadales tīkls" prioritāri atbalstītu priekšlikumu elektroenerģijas tirgotāju noteikt kā vienoto kontaktpunktu elektroenerģijas ražošanas iekārtas ar jaudu līdz 11,1 </w:t>
            </w:r>
            <w:proofErr w:type="spellStart"/>
            <w:r>
              <w:rPr>
                <w:rFonts w:ascii="Times New Roman" w:hAnsi="Times New Roman" w:cs="Times New Roman"/>
                <w:color w:val="000000"/>
                <w:sz w:val="24"/>
                <w:szCs w:val="24"/>
              </w:rPr>
              <w:t>kW</w:t>
            </w:r>
            <w:proofErr w:type="spellEnd"/>
            <w:r>
              <w:rPr>
                <w:rFonts w:ascii="Times New Roman" w:hAnsi="Times New Roman" w:cs="Times New Roman"/>
                <w:color w:val="000000"/>
                <w:sz w:val="24"/>
                <w:szCs w:val="24"/>
              </w:rPr>
              <w:t xml:space="preserve"> ieviešanai, tādējādi neierobežojot jau šobrīd piedāvāto pakalpojumu un nekropļojot konkurenci tirgū.</w:t>
            </w:r>
          </w:p>
          <w:p w14:paraId="4D21D092" w14:textId="77777777" w:rsidR="00F159B7" w:rsidRDefault="00F159B7" w:rsidP="00F159B7">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Symbol" w:hAnsi="Symbol" w:cs="Symbol"/>
                <w:color w:val="000000"/>
                <w:sz w:val="24"/>
                <w:szCs w:val="24"/>
              </w:rPr>
              <w:lastRenderedPageBreak/>
              <w:t></w:t>
            </w:r>
            <w:r>
              <w:rPr>
                <w:rFonts w:ascii="Symbol" w:hAnsi="Symbol" w:cs="Symbol"/>
                <w:color w:val="000000"/>
                <w:sz w:val="24"/>
                <w:szCs w:val="24"/>
              </w:rPr>
              <w:tab/>
            </w:r>
            <w:r>
              <w:rPr>
                <w:rFonts w:ascii="Times New Roman" w:hAnsi="Times New Roman" w:cs="Times New Roman"/>
                <w:color w:val="000000"/>
                <w:sz w:val="24"/>
                <w:szCs w:val="24"/>
              </w:rPr>
              <w:t xml:space="preserve">Elektroenerģijas ražošanas jaudu ieviešanas procesā būtiska loma ir būvniecības procesam, kura regulējums attiecībā uz saules paneļu uzstādīšanu joprojām ir pietiekami neskaidrs, kopumā komplicēts un atšķirīgi interpretēts katrā būvvaldē. Sistēmas drošu darbību ietekmējošās elektriskās daļas pārbaude un operatora atļauju saņemšana </w:t>
            </w:r>
            <w:proofErr w:type="spellStart"/>
            <w:r>
              <w:rPr>
                <w:rFonts w:ascii="Times New Roman" w:hAnsi="Times New Roman" w:cs="Times New Roman"/>
                <w:color w:val="000000"/>
                <w:sz w:val="24"/>
                <w:szCs w:val="24"/>
              </w:rPr>
              <w:t>mikroģnerācijas</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pieslēguma</w:t>
            </w:r>
            <w:proofErr w:type="spellEnd"/>
            <w:r>
              <w:rPr>
                <w:rFonts w:ascii="Times New Roman" w:hAnsi="Times New Roman" w:cs="Times New Roman"/>
                <w:color w:val="000000"/>
                <w:sz w:val="24"/>
                <w:szCs w:val="24"/>
              </w:rPr>
              <w:t xml:space="preserve"> procesā noteikti nav sarežģītākā un apjomīgākā procesa daļa. Elektroenerģijas sadales sistēmas operatoram šāda vienotā kontaktpunkta loma, t.sk. </w:t>
            </w:r>
            <w:proofErr w:type="spellStart"/>
            <w:r>
              <w:rPr>
                <w:rFonts w:ascii="Times New Roman" w:hAnsi="Times New Roman" w:cs="Times New Roman"/>
                <w:color w:val="000000"/>
                <w:sz w:val="24"/>
                <w:szCs w:val="24"/>
              </w:rPr>
              <w:t>mikroģeneratoru</w:t>
            </w:r>
            <w:proofErr w:type="spellEnd"/>
            <w:r>
              <w:rPr>
                <w:rFonts w:ascii="Times New Roman" w:hAnsi="Times New Roman" w:cs="Times New Roman"/>
                <w:color w:val="000000"/>
                <w:sz w:val="24"/>
                <w:szCs w:val="24"/>
              </w:rPr>
              <w:t xml:space="preserve"> uzstādīšanu saistīto būvniecības jautājumu risināšana, radītu papildu darbības izmaksas, atstājot negatīvu ietekmi uz sistēmas pakalpojumu tarifiem. Vienlaicīgi tiktu kropļota elektroenerģijas tirgus darbība un attīstība, jo operators ar savu piedāvājumu iejauktos elektroenerģijas tirgotāju pakalpojumu tirgū.</w:t>
            </w:r>
          </w:p>
          <w:p w14:paraId="254B548C" w14:textId="77777777" w:rsidR="00F159B7" w:rsidRDefault="00F159B7" w:rsidP="00F159B7">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Symbol" w:hAnsi="Symbol" w:cs="Symbol"/>
                <w:color w:val="000000"/>
                <w:sz w:val="24"/>
                <w:szCs w:val="24"/>
              </w:rPr>
              <w:t></w:t>
            </w:r>
            <w:r>
              <w:rPr>
                <w:rFonts w:ascii="Symbol" w:hAnsi="Symbol" w:cs="Symbol"/>
                <w:color w:val="000000"/>
                <w:sz w:val="24"/>
                <w:szCs w:val="24"/>
              </w:rPr>
              <w:tab/>
            </w:r>
            <w:r>
              <w:rPr>
                <w:rFonts w:ascii="Times New Roman" w:hAnsi="Times New Roman" w:cs="Times New Roman"/>
                <w:color w:val="000000"/>
                <w:sz w:val="24"/>
                <w:szCs w:val="24"/>
              </w:rPr>
              <w:t xml:space="preserve">Ja tiek mainīta konkurences apstākļos izveidojusies kārtība, AS "Sadales tīkls" ieskatā vienotajam kontaktpunktam būtu jābūt tiešām vienotam attiecībā uz visām ražošanas jaudām un vienotam visā valsts teritorijā.  Ir jāņem vērā, ka Latvijas teritorijā ir 10 elektroenerģijas sadales sistēmas operatori, attiecīgi būtu 10 vienotie kontaktpunkti </w:t>
            </w:r>
            <w:proofErr w:type="spellStart"/>
            <w:r>
              <w:rPr>
                <w:rFonts w:ascii="Times New Roman" w:hAnsi="Times New Roman" w:cs="Times New Roman"/>
                <w:color w:val="000000"/>
                <w:sz w:val="24"/>
                <w:szCs w:val="24"/>
              </w:rPr>
              <w:t>mikroģenerācijas</w:t>
            </w:r>
            <w:proofErr w:type="spellEnd"/>
            <w:r>
              <w:rPr>
                <w:rFonts w:ascii="Times New Roman" w:hAnsi="Times New Roman" w:cs="Times New Roman"/>
                <w:color w:val="000000"/>
                <w:sz w:val="24"/>
                <w:szCs w:val="24"/>
              </w:rPr>
              <w:t xml:space="preserve"> iekārtu pieslēgšanai. Ņemot vērā, ka īstenojot vienotā kontaktpunkta konceptu lielas jaudas elektrostaciju </w:t>
            </w:r>
            <w:proofErr w:type="spellStart"/>
            <w:r>
              <w:rPr>
                <w:rFonts w:ascii="Times New Roman" w:hAnsi="Times New Roman" w:cs="Times New Roman"/>
                <w:color w:val="000000"/>
                <w:sz w:val="24"/>
                <w:szCs w:val="24"/>
              </w:rPr>
              <w:t>pieslēguma</w:t>
            </w:r>
            <w:proofErr w:type="spellEnd"/>
            <w:r>
              <w:rPr>
                <w:rFonts w:ascii="Times New Roman" w:hAnsi="Times New Roman" w:cs="Times New Roman"/>
                <w:color w:val="000000"/>
                <w:sz w:val="24"/>
                <w:szCs w:val="24"/>
              </w:rPr>
              <w:t xml:space="preserve"> procesā operatoram būs jāievieš pilnībā jauns informācijas apmaiņas modelis starp </w:t>
            </w:r>
            <w:proofErr w:type="spellStart"/>
            <w:r>
              <w:rPr>
                <w:rFonts w:ascii="Times New Roman" w:hAnsi="Times New Roman" w:cs="Times New Roman"/>
                <w:color w:val="000000"/>
                <w:sz w:val="24"/>
                <w:szCs w:val="24"/>
              </w:rPr>
              <w:t>pieslēguma</w:t>
            </w:r>
            <w:proofErr w:type="spellEnd"/>
            <w:r>
              <w:rPr>
                <w:rFonts w:ascii="Times New Roman" w:hAnsi="Times New Roman" w:cs="Times New Roman"/>
                <w:color w:val="000000"/>
                <w:sz w:val="24"/>
                <w:szCs w:val="24"/>
              </w:rPr>
              <w:t xml:space="preserve"> procesā iesaistītajām pusēm (klientu, kontaktpunktu, sistēmas operatoru un citām iestādēm), tad vienotie principi būtu piemērojami arī </w:t>
            </w:r>
            <w:proofErr w:type="spellStart"/>
            <w:r>
              <w:rPr>
                <w:rFonts w:ascii="Times New Roman" w:hAnsi="Times New Roman" w:cs="Times New Roman"/>
                <w:color w:val="000000"/>
                <w:sz w:val="24"/>
                <w:szCs w:val="24"/>
              </w:rPr>
              <w:t>mikroģeneratoru</w:t>
            </w:r>
            <w:proofErr w:type="spellEnd"/>
            <w:r>
              <w:rPr>
                <w:rFonts w:ascii="Times New Roman" w:hAnsi="Times New Roman" w:cs="Times New Roman"/>
                <w:color w:val="000000"/>
                <w:sz w:val="24"/>
                <w:szCs w:val="24"/>
              </w:rPr>
              <w:t xml:space="preserve"> pieslēgšanas gadījumā (tātad papildus informācijas sistēmu izstrādes nerastos, jo tās būs jāīsteno jau lielas jaudas elektrostacijām). Konceptuāli raugoties, jau šobrīd Būvniecības valsts kontroles biroja izstrādātā Būvniecības informācijas sistēma (BIS), kas faktiski pilda vienotā kontaktpunkta lomu būvniecībā, būtu atbilstoša platforma, uz kuras bāzes būtu attīstāms vienotā kontaktpunkta koncepts arī enerģētikas jomā. Energoapgādes komersanti (piemēram AS "Sadales tīkls") jau ir veikuši investīcijas savās informācijas sistēmās, lai varētu nodrošināt automatizētu informācijas apmaiņu ar BIS (tehnisko noteikumu un saskaņojumu pieprasījumu apstrādē). </w:t>
            </w:r>
          </w:p>
          <w:p w14:paraId="55F73ABA" w14:textId="77777777" w:rsidR="00F159B7" w:rsidRDefault="00F159B7" w:rsidP="00F159B7">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Ņemot vērā iepriekš minēto un faktiskos apstākļus, AS "Sadales tīkls" </w:t>
            </w:r>
            <w:r>
              <w:rPr>
                <w:rFonts w:ascii="Times New Roman" w:hAnsi="Times New Roman" w:cs="Times New Roman"/>
                <w:color w:val="000000"/>
                <w:sz w:val="24"/>
                <w:szCs w:val="24"/>
                <w:u w:val="single"/>
              </w:rPr>
              <w:t xml:space="preserve">lūdz precizēt Enerģētikas likuma 123.panta  trešo daļu, nosakot, ka vienotais kontaktpunkts elektroenerģijas ražošanas iekāru ar jaudu līdz 11,1 </w:t>
            </w:r>
            <w:proofErr w:type="spellStart"/>
            <w:r>
              <w:rPr>
                <w:rFonts w:ascii="Times New Roman" w:hAnsi="Times New Roman" w:cs="Times New Roman"/>
                <w:color w:val="000000"/>
                <w:sz w:val="24"/>
                <w:szCs w:val="24"/>
                <w:u w:val="single"/>
              </w:rPr>
              <w:t>kW</w:t>
            </w:r>
            <w:proofErr w:type="spellEnd"/>
            <w:r>
              <w:rPr>
                <w:rFonts w:ascii="Times New Roman" w:hAnsi="Times New Roman" w:cs="Times New Roman"/>
                <w:color w:val="000000"/>
                <w:sz w:val="24"/>
                <w:szCs w:val="24"/>
                <w:u w:val="single"/>
              </w:rPr>
              <w:t xml:space="preserve"> ieviešanai ir lietotāja izvēlētais elektroenerģijas tirgotājs vai svītrot Likumprojektā ietvertā Enerģētikas likuma 123.panta  trešo daļu</w:t>
            </w:r>
            <w:r>
              <w:rPr>
                <w:rFonts w:ascii="Times New Roman" w:hAnsi="Times New Roman" w:cs="Times New Roman"/>
                <w:color w:val="000000"/>
                <w:sz w:val="24"/>
                <w:szCs w:val="24"/>
              </w:rPr>
              <w:t>, tādejādi saskaņā ar 123.panta otro daļu paredzot viena vienota kontaktpunkta izveidi attiecībā uz visa veida un jaudas elektroenerģijas ražošanas iekārtām.</w:t>
            </w:r>
          </w:p>
          <w:p w14:paraId="0894D06F" w14:textId="77777777" w:rsidR="00F159B7" w:rsidRDefault="00F159B7" w:rsidP="00F159B7">
            <w:pPr>
              <w:keepLines/>
              <w:autoSpaceDE w:val="0"/>
              <w:autoSpaceDN w:val="0"/>
              <w:adjustRightInd w:val="0"/>
              <w:spacing w:after="0" w:line="240" w:lineRule="auto"/>
              <w:ind w:firstLine="720"/>
              <w:jc w:val="both"/>
              <w:rPr>
                <w:rFonts w:ascii="Times New Roman" w:hAnsi="Times New Roman" w:cs="Times New Roman"/>
                <w:color w:val="000000"/>
                <w:sz w:val="24"/>
                <w:szCs w:val="24"/>
              </w:rPr>
            </w:pPr>
          </w:p>
          <w:p w14:paraId="500CE427" w14:textId="77777777" w:rsidR="00F159B7" w:rsidRDefault="00F159B7" w:rsidP="00F159B7">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color w:val="000000"/>
                <w:sz w:val="24"/>
                <w:szCs w:val="24"/>
              </w:rPr>
              <w:tab/>
              <w:t>Par Enerģētiskās krīzes nodaļu</w:t>
            </w:r>
          </w:p>
          <w:p w14:paraId="19997DFE" w14:textId="77777777" w:rsidR="00F159B7" w:rsidRDefault="00F159B7" w:rsidP="00F159B7">
            <w:pPr>
              <w:keepLines/>
              <w:autoSpaceDE w:val="0"/>
              <w:autoSpaceDN w:val="0"/>
              <w:adjustRightInd w:val="0"/>
              <w:spacing w:after="0" w:line="240" w:lineRule="auto"/>
              <w:ind w:firstLine="720"/>
              <w:jc w:val="both"/>
              <w:rPr>
                <w:rFonts w:ascii="Times New Roman" w:hAnsi="Times New Roman" w:cs="Times New Roman"/>
                <w:color w:val="000000"/>
                <w:sz w:val="24"/>
                <w:szCs w:val="24"/>
              </w:rPr>
            </w:pPr>
          </w:p>
          <w:p w14:paraId="30833A3D" w14:textId="77777777" w:rsidR="00F159B7" w:rsidRDefault="00F159B7" w:rsidP="00F159B7">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Latvijas Elektroenerģētiķu un </w:t>
            </w:r>
            <w:proofErr w:type="spellStart"/>
            <w:r>
              <w:rPr>
                <w:rFonts w:ascii="Times New Roman" w:hAnsi="Times New Roman" w:cs="Times New Roman"/>
                <w:color w:val="000000"/>
                <w:sz w:val="24"/>
                <w:szCs w:val="24"/>
              </w:rPr>
              <w:t>Energobūvnieku</w:t>
            </w:r>
            <w:proofErr w:type="spellEnd"/>
            <w:r>
              <w:rPr>
                <w:rFonts w:ascii="Times New Roman" w:hAnsi="Times New Roman" w:cs="Times New Roman"/>
                <w:color w:val="000000"/>
                <w:sz w:val="24"/>
                <w:szCs w:val="24"/>
              </w:rPr>
              <w:t xml:space="preserve"> (turpmāk - LEEA) asociācija sadarbībā ar AS "Sadales tīkls" un AS "Augstsprieguma tīkls" sagatavoja un sniedza priekšlikumus Enerģētikas likuma XI nodaļas papildināšanai, kas ir būtiski elektroenerģijas sistēmas stabilas darbības nodrošināšanai un enerģētiskās krīzes iestāšanās novēršanai. AS "Sadales tīkls" lūdz Ekonomikas ministriju atkārtoti izvērtēt LEEA iesniegtos priekšlikumus un ietvert tos Likumprojektā, kā arī atkārtoti aicina izvērtēt AS "Sadales tīkls" priekšlikumu precizējumam 69.pantā, jo tehnisku apsvērumu dēļ sistēmas operators nevar realizēt un kontrolēt energoapgādes ierobežojumus vai energoapgādes pārtraukšanu lietotāju grupu līmenī. Lūdzam izteikt 69.panta pirmās daļas 1.punktu šādā redakcijā:</w:t>
            </w:r>
          </w:p>
          <w:p w14:paraId="355DFC25" w14:textId="77777777" w:rsidR="00F159B7" w:rsidRDefault="00F159B7" w:rsidP="00F159B7">
            <w:pPr>
              <w:keepLines/>
              <w:autoSpaceDE w:val="0"/>
              <w:autoSpaceDN w:val="0"/>
              <w:adjustRightInd w:val="0"/>
              <w:spacing w:after="0" w:line="240" w:lineRule="auto"/>
              <w:ind w:firstLine="720"/>
              <w:jc w:val="both"/>
              <w:rPr>
                <w:rFonts w:ascii="Times New Roman" w:hAnsi="Times New Roman" w:cs="Times New Roman"/>
                <w:i/>
                <w:iCs/>
                <w:color w:val="000000"/>
                <w:sz w:val="24"/>
                <w:szCs w:val="24"/>
              </w:rPr>
            </w:pPr>
            <w:r>
              <w:rPr>
                <w:rFonts w:ascii="Times New Roman" w:hAnsi="Times New Roman" w:cs="Times New Roman"/>
                <w:i/>
                <w:iCs/>
                <w:color w:val="000000"/>
                <w:sz w:val="24"/>
                <w:szCs w:val="24"/>
              </w:rPr>
              <w:t xml:space="preserve">“1) elektroenerģijas, siltumenerģijas un sašķidrinātās naftas gāzes patēriņa ierobežojumus  un prioritātes, ja tādi nepieciešami, atsevišķām enerģijas lietotāju grupām </w:t>
            </w:r>
            <w:r>
              <w:rPr>
                <w:rFonts w:ascii="Times New Roman" w:hAnsi="Times New Roman" w:cs="Times New Roman"/>
                <w:i/>
                <w:iCs/>
                <w:color w:val="000000"/>
                <w:sz w:val="24"/>
                <w:szCs w:val="24"/>
                <w:u w:val="single"/>
              </w:rPr>
              <w:t>vai ģeogrāfiskām teritorijām</w:t>
            </w:r>
            <w:r>
              <w:rPr>
                <w:rFonts w:ascii="Times New Roman" w:hAnsi="Times New Roman" w:cs="Times New Roman"/>
                <w:i/>
                <w:iCs/>
                <w:color w:val="000000"/>
                <w:sz w:val="24"/>
                <w:szCs w:val="24"/>
              </w:rPr>
              <w:t xml:space="preserve"> attiecīgās pašvaldības administratīvajā teritorijā;”.</w:t>
            </w:r>
          </w:p>
          <w:p w14:paraId="719EE3F1" w14:textId="77777777" w:rsidR="00F159B7" w:rsidRDefault="00F159B7" w:rsidP="00F159B7">
            <w:pPr>
              <w:keepLines/>
              <w:autoSpaceDE w:val="0"/>
              <w:autoSpaceDN w:val="0"/>
              <w:adjustRightInd w:val="0"/>
              <w:spacing w:after="0" w:line="240" w:lineRule="auto"/>
              <w:ind w:firstLine="720"/>
              <w:jc w:val="both"/>
              <w:rPr>
                <w:rFonts w:ascii="Times New Roman" w:hAnsi="Times New Roman" w:cs="Times New Roman"/>
                <w:i/>
                <w:iCs/>
                <w:color w:val="000000"/>
                <w:sz w:val="24"/>
                <w:szCs w:val="24"/>
              </w:rPr>
            </w:pPr>
          </w:p>
          <w:p w14:paraId="779B7FD8" w14:textId="77777777" w:rsidR="00F159B7" w:rsidRDefault="00F159B7" w:rsidP="00F159B7">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Pr>
                <w:rFonts w:ascii="Times New Roman" w:hAnsi="Times New Roman" w:cs="Times New Roman"/>
                <w:color w:val="000000"/>
                <w:sz w:val="24"/>
                <w:szCs w:val="24"/>
              </w:rPr>
              <w:tab/>
              <w:t>Par esošo energoapgādes objektu pārvietošanas finansēšanu</w:t>
            </w:r>
          </w:p>
          <w:p w14:paraId="238485DE" w14:textId="77777777" w:rsidR="00F159B7" w:rsidRDefault="00F159B7" w:rsidP="00F159B7">
            <w:pPr>
              <w:keepLines/>
              <w:autoSpaceDE w:val="0"/>
              <w:autoSpaceDN w:val="0"/>
              <w:adjustRightInd w:val="0"/>
              <w:spacing w:after="0" w:line="240" w:lineRule="auto"/>
              <w:ind w:firstLine="720"/>
              <w:jc w:val="both"/>
              <w:rPr>
                <w:rFonts w:ascii="Times New Roman" w:hAnsi="Times New Roman" w:cs="Times New Roman"/>
                <w:color w:val="000000"/>
                <w:sz w:val="24"/>
                <w:szCs w:val="24"/>
              </w:rPr>
            </w:pPr>
          </w:p>
          <w:p w14:paraId="2E106DFE" w14:textId="77777777" w:rsidR="00F159B7" w:rsidRDefault="00F159B7" w:rsidP="00F159B7">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Likumprojekta 14.pantā paredzēts precizēt Enerģētikas likuma 23.panta otro daļu, nosakot, ka esošo energoapgādes komersantu objektu pārvietošanu pēc pamatotas pārvietošanas prasības veic par pārvietošanas ierosinātāja līdzekļiem. AS "Sadales tīkls" izprot un atbalsta grozījuma mērķi precizēt, ka izmaksas sedz ierosinātājs nevis nekustamā īpašuma īpašnieks, kas var būt dažādas personas. Aicinām izvērtēt iespēju redakciju saskaņot ar Aizsargjoslu likuma 35.panta sesto daļu, proti, ietverot piebildi, ka puses var savstarpēji vienoties arī par citiem apmaksas nosacījumiem. Vienošanās par citiem izmaksu sadalījuma principiem atsevišķos gadījumos ir lietderīga plānojot vairāku energoapgādes komersantu vai vairāku infrastruktūras objektu vienlaicīgu pārbūvi un atjaunošanu, piemēram, veicot pilsētas ielas un tajā esošo inženiertīklu pilnīgu rekonstrukciju.</w:t>
            </w:r>
          </w:p>
          <w:p w14:paraId="475862AB" w14:textId="77777777" w:rsidR="00F159B7" w:rsidRDefault="00F159B7" w:rsidP="00F159B7">
            <w:pPr>
              <w:keepLines/>
              <w:autoSpaceDE w:val="0"/>
              <w:autoSpaceDN w:val="0"/>
              <w:adjustRightInd w:val="0"/>
              <w:spacing w:after="0" w:line="240" w:lineRule="auto"/>
              <w:ind w:firstLine="720"/>
              <w:jc w:val="both"/>
              <w:rPr>
                <w:rFonts w:ascii="Times New Roman" w:hAnsi="Times New Roman" w:cs="Times New Roman"/>
                <w:color w:val="000000"/>
                <w:sz w:val="24"/>
                <w:szCs w:val="24"/>
              </w:rPr>
            </w:pPr>
          </w:p>
          <w:p w14:paraId="24CE1935" w14:textId="77777777" w:rsidR="00F159B7" w:rsidRDefault="00F159B7" w:rsidP="00F159B7">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Pr>
                <w:rFonts w:ascii="Times New Roman" w:hAnsi="Times New Roman" w:cs="Times New Roman"/>
                <w:color w:val="000000"/>
                <w:sz w:val="24"/>
                <w:szCs w:val="24"/>
              </w:rPr>
              <w:tab/>
              <w:t>Redakcionālie priekšlikumi</w:t>
            </w:r>
          </w:p>
          <w:p w14:paraId="11A9CCFD" w14:textId="77777777" w:rsidR="00F159B7" w:rsidRDefault="00F159B7" w:rsidP="00F159B7">
            <w:pPr>
              <w:keepLines/>
              <w:autoSpaceDE w:val="0"/>
              <w:autoSpaceDN w:val="0"/>
              <w:adjustRightInd w:val="0"/>
              <w:spacing w:after="0" w:line="240" w:lineRule="auto"/>
              <w:ind w:firstLine="720"/>
              <w:jc w:val="both"/>
              <w:rPr>
                <w:rFonts w:ascii="Times New Roman" w:hAnsi="Times New Roman" w:cs="Times New Roman"/>
                <w:color w:val="000000"/>
                <w:sz w:val="24"/>
                <w:szCs w:val="24"/>
              </w:rPr>
            </w:pPr>
          </w:p>
          <w:p w14:paraId="3A29CB5F" w14:textId="77777777" w:rsidR="00F159B7" w:rsidRDefault="00F159B7" w:rsidP="00F159B7">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Aicinām atkārtoti izvērtēt Enerģētikas likuma 118.panta redakciju. Attiecīgais pants nosaka administratīvo pārkāpumu veidus enerģētikas jomā un naudas soda apmēru par attiecīgu pārkāpumu izdarīšanu. 118.panta (4) daļa līdz šim ietvērusi nosacījumus tikai par patvaļīgu pieslēgšanos dabasgāzes un siltumapgādes sistēmai. AS "Sadales tīkls" lūdz papildināt 118.panta (4) daļu arī ar elektroenerģijas jomu, šīs daļas redakcijā aiz vārdiem "</w:t>
            </w:r>
            <w:r>
              <w:rPr>
                <w:rFonts w:ascii="Times New Roman" w:hAnsi="Times New Roman" w:cs="Times New Roman"/>
                <w:i/>
                <w:iCs/>
                <w:color w:val="000000"/>
                <w:sz w:val="24"/>
                <w:szCs w:val="24"/>
              </w:rPr>
              <w:t>patvaļīgu pieslēgšanos</w:t>
            </w:r>
            <w:r>
              <w:rPr>
                <w:rFonts w:ascii="Times New Roman" w:hAnsi="Times New Roman" w:cs="Times New Roman"/>
                <w:color w:val="000000"/>
                <w:sz w:val="24"/>
                <w:szCs w:val="24"/>
              </w:rPr>
              <w:t>" papildinot ar vārdu "</w:t>
            </w:r>
            <w:r>
              <w:rPr>
                <w:rFonts w:ascii="Times New Roman" w:hAnsi="Times New Roman" w:cs="Times New Roman"/>
                <w:i/>
                <w:iCs/>
                <w:color w:val="000000"/>
                <w:sz w:val="24"/>
                <w:szCs w:val="24"/>
              </w:rPr>
              <w:t>elektroenerģijas</w:t>
            </w:r>
            <w:r>
              <w:rPr>
                <w:rFonts w:ascii="Times New Roman" w:hAnsi="Times New Roman" w:cs="Times New Roman"/>
                <w:color w:val="000000"/>
                <w:sz w:val="24"/>
                <w:szCs w:val="24"/>
              </w:rPr>
              <w:t>".</w:t>
            </w:r>
          </w:p>
          <w:p w14:paraId="706BBD99" w14:textId="77777777" w:rsidR="00F159B7" w:rsidRDefault="00F159B7" w:rsidP="00F159B7">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Aicinām redakcionāli precizēt Likumprojekta 9.pantu attiecībā uz grozījumu Enerģētikas likuma 15.panta trešajā daļā. Konceptuāli priekšlikumu atbalstām. </w:t>
            </w:r>
          </w:p>
        </w:tc>
      </w:tr>
    </w:tbl>
    <w:p w14:paraId="19F76346" w14:textId="77777777" w:rsidR="00F159B7" w:rsidRDefault="00F159B7" w:rsidP="00F159B7">
      <w:pPr>
        <w:autoSpaceDE w:val="0"/>
        <w:autoSpaceDN w:val="0"/>
        <w:adjustRightInd w:val="0"/>
        <w:spacing w:after="0" w:line="240" w:lineRule="auto"/>
        <w:rPr>
          <w:rFonts w:ascii="Times New Roman" w:hAnsi="Times New Roman" w:cs="Times New Roman"/>
          <w:color w:val="000000"/>
          <w:sz w:val="24"/>
          <w:szCs w:val="24"/>
        </w:rPr>
      </w:pPr>
    </w:p>
    <w:p w14:paraId="42A84607" w14:textId="77777777" w:rsidR="00F159B7" w:rsidRDefault="00F159B7" w:rsidP="00F159B7">
      <w:pPr>
        <w:autoSpaceDE w:val="0"/>
        <w:autoSpaceDN w:val="0"/>
        <w:adjustRightInd w:val="0"/>
        <w:spacing w:after="0" w:line="240" w:lineRule="auto"/>
        <w:rPr>
          <w:rFonts w:ascii="Times New Roman" w:hAnsi="Times New Roman" w:cs="Times New Roman"/>
          <w:color w:val="000000"/>
          <w:sz w:val="24"/>
          <w:szCs w:val="24"/>
        </w:rPr>
      </w:pPr>
    </w:p>
    <w:p w14:paraId="4C934CF7" w14:textId="77777777" w:rsidR="00F159B7" w:rsidRDefault="00F159B7" w:rsidP="00F159B7">
      <w:pPr>
        <w:autoSpaceDE w:val="0"/>
        <w:autoSpaceDN w:val="0"/>
        <w:adjustRightInd w:val="0"/>
        <w:spacing w:after="0" w:line="240" w:lineRule="auto"/>
        <w:rPr>
          <w:rFonts w:ascii="Times New Roman" w:hAnsi="Times New Roman" w:cs="Times New Roman"/>
          <w:i/>
          <w:iCs/>
          <w:color w:val="000000"/>
          <w:sz w:val="20"/>
          <w:szCs w:val="20"/>
        </w:rPr>
      </w:pPr>
      <w:r>
        <w:rPr>
          <w:rFonts w:ascii="Times New Roman" w:hAnsi="Times New Roman" w:cs="Times New Roman"/>
          <w:i/>
          <w:iCs/>
          <w:color w:val="000000"/>
          <w:sz w:val="20"/>
          <w:szCs w:val="20"/>
        </w:rPr>
        <w:t>Šis dokuments ir parakstīts ar drošu elektronisko parakstu un satur laika zīmogu.</w:t>
      </w:r>
    </w:p>
    <w:p w14:paraId="49FC7214" w14:textId="77777777" w:rsidR="00F159B7" w:rsidRDefault="00F159B7" w:rsidP="00F159B7">
      <w:pPr>
        <w:autoSpaceDE w:val="0"/>
        <w:autoSpaceDN w:val="0"/>
        <w:adjustRightInd w:val="0"/>
        <w:spacing w:after="0" w:line="240" w:lineRule="auto"/>
        <w:rPr>
          <w:rFonts w:ascii="Times New Roman" w:hAnsi="Times New Roman" w:cs="Times New Roman"/>
          <w:i/>
          <w:iCs/>
          <w:color w:val="000000"/>
          <w:sz w:val="20"/>
          <w:szCs w:val="20"/>
        </w:rPr>
      </w:pPr>
    </w:p>
    <w:tbl>
      <w:tblPr>
        <w:tblW w:w="5000" w:type="pct"/>
        <w:tblCellMar>
          <w:left w:w="0" w:type="dxa"/>
          <w:right w:w="0" w:type="dxa"/>
        </w:tblCellMar>
        <w:tblLook w:val="00A0" w:firstRow="1" w:lastRow="0" w:firstColumn="1" w:lastColumn="0" w:noHBand="0" w:noVBand="0"/>
      </w:tblPr>
      <w:tblGrid>
        <w:gridCol w:w="4386"/>
        <w:gridCol w:w="276"/>
        <w:gridCol w:w="4409"/>
      </w:tblGrid>
      <w:tr w:rsidR="00F159B7" w14:paraId="30CC0BDE" w14:textId="77777777" w:rsidTr="00F159B7">
        <w:tc>
          <w:tcPr>
            <w:tcW w:w="2418" w:type="pct"/>
          </w:tcPr>
          <w:p w14:paraId="74B134A4" w14:textId="77777777" w:rsidR="00F159B7" w:rsidRDefault="00F159B7" w:rsidP="00F159B7">
            <w:pPr>
              <w:keepLines/>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Izpilddirektors</w:t>
            </w:r>
            <w:r>
              <w:rPr>
                <w:rFonts w:ascii="Times New Roman" w:hAnsi="Times New Roman" w:cs="Times New Roman"/>
                <w:color w:val="000000"/>
                <w:sz w:val="24"/>
                <w:szCs w:val="24"/>
              </w:rPr>
              <w:br/>
              <w:t>Tehniskais direktors</w:t>
            </w:r>
          </w:p>
        </w:tc>
        <w:tc>
          <w:tcPr>
            <w:tcW w:w="152" w:type="pct"/>
          </w:tcPr>
          <w:p w14:paraId="4D3D6D71" w14:textId="77777777" w:rsidR="00F159B7" w:rsidRDefault="00F159B7" w:rsidP="00F159B7">
            <w:pPr>
              <w:keepLines/>
              <w:autoSpaceDE w:val="0"/>
              <w:autoSpaceDN w:val="0"/>
              <w:adjustRightInd w:val="0"/>
              <w:spacing w:after="0" w:line="360" w:lineRule="auto"/>
              <w:ind w:left="15"/>
              <w:rPr>
                <w:rFonts w:ascii="Times New Roman" w:hAnsi="Times New Roman" w:cs="Times New Roman"/>
                <w:color w:val="000000"/>
                <w:sz w:val="24"/>
                <w:szCs w:val="24"/>
              </w:rPr>
            </w:pPr>
          </w:p>
        </w:tc>
        <w:tc>
          <w:tcPr>
            <w:tcW w:w="2430" w:type="pct"/>
          </w:tcPr>
          <w:p w14:paraId="489C5740" w14:textId="77777777" w:rsidR="00F159B7" w:rsidRDefault="00F159B7" w:rsidP="00F159B7">
            <w:pPr>
              <w:keepLines/>
              <w:autoSpaceDE w:val="0"/>
              <w:autoSpaceDN w:val="0"/>
              <w:adjustRightInd w:val="0"/>
              <w:spacing w:after="0" w:line="360" w:lineRule="auto"/>
              <w:ind w:left="15" w:right="283"/>
              <w:jc w:val="right"/>
              <w:rPr>
                <w:rFonts w:ascii="Times New Roman" w:hAnsi="Times New Roman" w:cs="Times New Roman"/>
                <w:color w:val="000000"/>
                <w:sz w:val="24"/>
                <w:szCs w:val="24"/>
              </w:rPr>
            </w:pPr>
            <w:r>
              <w:rPr>
                <w:rFonts w:ascii="Times New Roman" w:hAnsi="Times New Roman" w:cs="Times New Roman"/>
                <w:color w:val="000000"/>
                <w:sz w:val="24"/>
                <w:szCs w:val="24"/>
              </w:rPr>
              <w:t>Sandis Jansons</w:t>
            </w:r>
            <w:r>
              <w:rPr>
                <w:rFonts w:ascii="Times New Roman" w:hAnsi="Times New Roman" w:cs="Times New Roman"/>
                <w:color w:val="000000"/>
                <w:sz w:val="24"/>
                <w:szCs w:val="24"/>
              </w:rPr>
              <w:br/>
              <w:t xml:space="preserve">Raimonds </w:t>
            </w:r>
            <w:proofErr w:type="spellStart"/>
            <w:r>
              <w:rPr>
                <w:rFonts w:ascii="Times New Roman" w:hAnsi="Times New Roman" w:cs="Times New Roman"/>
                <w:color w:val="000000"/>
                <w:sz w:val="24"/>
                <w:szCs w:val="24"/>
              </w:rPr>
              <w:t>Skrebs</w:t>
            </w:r>
            <w:proofErr w:type="spellEnd"/>
          </w:p>
        </w:tc>
      </w:tr>
    </w:tbl>
    <w:p w14:paraId="1EF0006B" w14:textId="77777777" w:rsidR="00F159B7" w:rsidRDefault="00F159B7" w:rsidP="00F159B7">
      <w:pPr>
        <w:autoSpaceDE w:val="0"/>
        <w:autoSpaceDN w:val="0"/>
        <w:adjustRightInd w:val="0"/>
        <w:spacing w:after="0" w:line="240" w:lineRule="auto"/>
        <w:rPr>
          <w:rFonts w:ascii="Times New Roman" w:hAnsi="Times New Roman" w:cs="Times New Roman"/>
          <w:color w:val="000000"/>
          <w:sz w:val="24"/>
          <w:szCs w:val="24"/>
        </w:rPr>
      </w:pPr>
    </w:p>
    <w:p w14:paraId="784CC842" w14:textId="77777777" w:rsidR="00F159B7" w:rsidRDefault="00F159B7" w:rsidP="00F159B7">
      <w:pPr>
        <w:autoSpaceDE w:val="0"/>
        <w:autoSpaceDN w:val="0"/>
        <w:adjustRightInd w:val="0"/>
        <w:spacing w:after="0" w:line="240" w:lineRule="auto"/>
        <w:rPr>
          <w:rFonts w:ascii="Times New Roman" w:hAnsi="Times New Roman" w:cs="Times New Roman"/>
          <w:color w:val="000000"/>
          <w:sz w:val="24"/>
          <w:szCs w:val="24"/>
        </w:rPr>
      </w:pPr>
    </w:p>
    <w:tbl>
      <w:tblPr>
        <w:tblW w:w="5000" w:type="pct"/>
        <w:tblCellMar>
          <w:left w:w="0" w:type="dxa"/>
          <w:right w:w="0" w:type="dxa"/>
        </w:tblCellMar>
        <w:tblLook w:val="00A0" w:firstRow="1" w:lastRow="0" w:firstColumn="1" w:lastColumn="0" w:noHBand="0" w:noVBand="0"/>
      </w:tblPr>
      <w:tblGrid>
        <w:gridCol w:w="9071"/>
      </w:tblGrid>
      <w:tr w:rsidR="00F159B7" w14:paraId="3244E872" w14:textId="77777777" w:rsidTr="00F159B7">
        <w:tc>
          <w:tcPr>
            <w:tcW w:w="5000" w:type="pct"/>
          </w:tcPr>
          <w:p w14:paraId="34AB7F71" w14:textId="77777777" w:rsidR="00F159B7" w:rsidRDefault="00F159B7" w:rsidP="00F159B7">
            <w:pPr>
              <w:keepLines/>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Agris </w:t>
            </w:r>
            <w:proofErr w:type="spellStart"/>
            <w:r>
              <w:rPr>
                <w:rFonts w:ascii="Times New Roman" w:hAnsi="Times New Roman" w:cs="Times New Roman"/>
                <w:color w:val="000000"/>
                <w:sz w:val="20"/>
                <w:szCs w:val="20"/>
              </w:rPr>
              <w:t>Kurms</w:t>
            </w:r>
            <w:proofErr w:type="spellEnd"/>
            <w:r>
              <w:rPr>
                <w:rFonts w:ascii="Times New Roman" w:hAnsi="Times New Roman" w:cs="Times New Roman"/>
                <w:color w:val="000000"/>
                <w:sz w:val="20"/>
                <w:szCs w:val="20"/>
              </w:rPr>
              <w:t xml:space="preserve"> 25482243</w:t>
            </w:r>
          </w:p>
        </w:tc>
      </w:tr>
    </w:tbl>
    <w:p w14:paraId="18962174" w14:textId="77777777" w:rsidR="005766AC" w:rsidRPr="00E77323" w:rsidRDefault="005766AC" w:rsidP="00F159B7">
      <w:pPr>
        <w:rPr>
          <w:rFonts w:ascii="Times New Roman" w:hAnsi="Times New Roman" w:cs="Times New Roman"/>
          <w:sz w:val="24"/>
          <w:szCs w:val="24"/>
        </w:rPr>
      </w:pPr>
    </w:p>
    <w:sectPr w:rsidR="005766AC" w:rsidRPr="00E77323" w:rsidSect="007F566F">
      <w:headerReference w:type="even" r:id="rId6"/>
      <w:headerReference w:type="default" r:id="rId7"/>
      <w:footerReference w:type="even" r:id="rId8"/>
      <w:footerReference w:type="default" r:id="rId9"/>
      <w:headerReference w:type="first" r:id="rId10"/>
      <w:footerReference w:type="first" r:id="rId11"/>
      <w:pgSz w:w="11906" w:h="16838" w:code="9"/>
      <w:pgMar w:top="1134" w:right="1134" w:bottom="1134" w:left="170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2DF9D1" w14:textId="77777777" w:rsidR="005931D5" w:rsidRDefault="005931D5" w:rsidP="00117405">
      <w:pPr>
        <w:spacing w:after="0" w:line="240" w:lineRule="auto"/>
      </w:pPr>
      <w:r>
        <w:separator/>
      </w:r>
    </w:p>
  </w:endnote>
  <w:endnote w:type="continuationSeparator" w:id="0">
    <w:p w14:paraId="37EC1E2E" w14:textId="77777777" w:rsidR="005931D5" w:rsidRDefault="005931D5" w:rsidP="00117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B7DF35" w14:textId="77777777" w:rsidR="00F159B7" w:rsidRDefault="00F159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5EAB3D" w14:textId="77777777" w:rsidR="00F159B7" w:rsidRDefault="00F159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8CDC7F" w14:textId="77777777" w:rsidR="00F159B7" w:rsidRDefault="00F159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220925" w14:textId="77777777" w:rsidR="005931D5" w:rsidRDefault="005931D5" w:rsidP="00117405">
      <w:pPr>
        <w:spacing w:after="0" w:line="240" w:lineRule="auto"/>
      </w:pPr>
      <w:r>
        <w:separator/>
      </w:r>
    </w:p>
  </w:footnote>
  <w:footnote w:type="continuationSeparator" w:id="0">
    <w:p w14:paraId="7F806015" w14:textId="77777777" w:rsidR="005931D5" w:rsidRDefault="005931D5" w:rsidP="001174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7BA764" w14:textId="77777777" w:rsidR="00F159B7" w:rsidRDefault="00F159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150996" w14:textId="77777777" w:rsidR="00F159B7" w:rsidRDefault="00F159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71"/>
    </w:tblGrid>
    <w:tr w:rsidR="007F566F" w:rsidRPr="007F566F" w14:paraId="663BFCF3" w14:textId="77777777" w:rsidTr="007F566F">
      <w:trPr>
        <w:cantSplit/>
        <w:trHeight w:val="3515"/>
        <w:jc w:val="center"/>
      </w:trPr>
      <w:tc>
        <w:tcPr>
          <w:tcW w:w="9061" w:type="dxa"/>
        </w:tcPr>
        <w:p w14:paraId="1662C569" w14:textId="77777777" w:rsidR="007F566F" w:rsidRPr="007F566F" w:rsidRDefault="007F566F">
          <w:pPr>
            <w:pStyle w:val="Header"/>
            <w:rPr>
              <w:rFonts w:ascii="Times New Roman" w:hAnsi="Times New Roman" w:cs="Times New Roman"/>
              <w:b/>
              <w:sz w:val="24"/>
              <w:szCs w:val="24"/>
            </w:rPr>
          </w:pPr>
        </w:p>
      </w:tc>
    </w:tr>
  </w:tbl>
  <w:p w14:paraId="2663D746" w14:textId="77777777" w:rsidR="00526744" w:rsidRDefault="00526744">
    <w:pPr>
      <w:pStyle w:val="Header"/>
    </w:pPr>
    <w:r>
      <w:rPr>
        <w:rFonts w:ascii="Times New Roman" w:hAnsi="Times New Roman" w:cs="Times New Roman"/>
        <w:noProof/>
        <w:sz w:val="24"/>
        <w:szCs w:val="24"/>
        <w:lang w:eastAsia="lv-LV"/>
      </w:rPr>
      <w:drawing>
        <wp:anchor distT="0" distB="0" distL="114300" distR="114300" simplePos="0" relativeHeight="251661312" behindDoc="1" locked="0" layoutInCell="1" allowOverlap="1" wp14:anchorId="1AB18B62" wp14:editId="283CE41A">
          <wp:simplePos x="0" y="0"/>
          <wp:positionH relativeFrom="column">
            <wp:posOffset>-989965</wp:posOffset>
          </wp:positionH>
          <wp:positionV relativeFrom="page">
            <wp:posOffset>-25400</wp:posOffset>
          </wp:positionV>
          <wp:extent cx="7570800" cy="2098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 veidlapa 2013_augsa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0800" cy="2098800"/>
                  </a:xfrm>
                  <a:prstGeom prst="rect">
                    <a:avLst/>
                  </a:prstGeom>
                </pic:spPr>
              </pic:pic>
            </a:graphicData>
          </a:graphic>
          <wp14:sizeRelH relativeFrom="page">
            <wp14:pctWidth>0</wp14:pctWidth>
          </wp14:sizeRelH>
          <wp14:sizeRelV relativeFrom="page">
            <wp14:pctHeight>0</wp14:pctHeight>
          </wp14:sizeRelV>
        </wp:anchor>
      </w:drawing>
    </w:r>
  </w:p>
  <w:p w14:paraId="5F466441" w14:textId="77777777" w:rsidR="00F159B7" w:rsidRPr="00F159B7" w:rsidRDefault="00F159B7">
    <w:pPr>
      <w:pStyle w:val="Header"/>
      <w:rPr>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9B7"/>
    <w:rsid w:val="00046C5E"/>
    <w:rsid w:val="00117405"/>
    <w:rsid w:val="001D1AD2"/>
    <w:rsid w:val="002302EC"/>
    <w:rsid w:val="003E571F"/>
    <w:rsid w:val="003F7941"/>
    <w:rsid w:val="00454313"/>
    <w:rsid w:val="00476996"/>
    <w:rsid w:val="00526744"/>
    <w:rsid w:val="00561709"/>
    <w:rsid w:val="005766AC"/>
    <w:rsid w:val="005931D5"/>
    <w:rsid w:val="006232BF"/>
    <w:rsid w:val="00627FAE"/>
    <w:rsid w:val="006512F4"/>
    <w:rsid w:val="006D2C65"/>
    <w:rsid w:val="00707C55"/>
    <w:rsid w:val="00717B9A"/>
    <w:rsid w:val="007F566F"/>
    <w:rsid w:val="00801D62"/>
    <w:rsid w:val="0083724C"/>
    <w:rsid w:val="008B458C"/>
    <w:rsid w:val="00974D29"/>
    <w:rsid w:val="009B414B"/>
    <w:rsid w:val="009C5EBC"/>
    <w:rsid w:val="00A32671"/>
    <w:rsid w:val="00B95B3B"/>
    <w:rsid w:val="00BF2CBA"/>
    <w:rsid w:val="00D12EA2"/>
    <w:rsid w:val="00D47201"/>
    <w:rsid w:val="00D9691A"/>
    <w:rsid w:val="00DA5174"/>
    <w:rsid w:val="00E41C97"/>
    <w:rsid w:val="00E77323"/>
    <w:rsid w:val="00EF2E06"/>
    <w:rsid w:val="00F159B7"/>
    <w:rsid w:val="00FF48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E3FDA1"/>
  <w15:docId w15:val="{005A97A2-5CBE-47BA-BA70-F96FCEC48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32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2BF"/>
    <w:rPr>
      <w:rFonts w:ascii="Tahoma" w:hAnsi="Tahoma" w:cs="Tahoma"/>
      <w:sz w:val="16"/>
      <w:szCs w:val="16"/>
    </w:rPr>
  </w:style>
  <w:style w:type="paragraph" w:styleId="Header">
    <w:name w:val="header"/>
    <w:basedOn w:val="Normal"/>
    <w:link w:val="HeaderChar"/>
    <w:uiPriority w:val="99"/>
    <w:unhideWhenUsed/>
    <w:rsid w:val="00117405"/>
    <w:pPr>
      <w:tabs>
        <w:tab w:val="center" w:pos="4320"/>
        <w:tab w:val="right" w:pos="8640"/>
      </w:tabs>
      <w:spacing w:after="0" w:line="240" w:lineRule="auto"/>
    </w:pPr>
  </w:style>
  <w:style w:type="character" w:customStyle="1" w:styleId="HeaderChar">
    <w:name w:val="Header Char"/>
    <w:basedOn w:val="DefaultParagraphFont"/>
    <w:link w:val="Header"/>
    <w:uiPriority w:val="99"/>
    <w:rsid w:val="00117405"/>
  </w:style>
  <w:style w:type="paragraph" w:styleId="Footer">
    <w:name w:val="footer"/>
    <w:basedOn w:val="Normal"/>
    <w:link w:val="FooterChar"/>
    <w:uiPriority w:val="99"/>
    <w:unhideWhenUsed/>
    <w:rsid w:val="00117405"/>
    <w:pPr>
      <w:tabs>
        <w:tab w:val="center" w:pos="4320"/>
        <w:tab w:val="right" w:pos="8640"/>
      </w:tabs>
      <w:spacing w:after="0" w:line="240" w:lineRule="auto"/>
    </w:pPr>
  </w:style>
  <w:style w:type="character" w:customStyle="1" w:styleId="FooterChar">
    <w:name w:val="Footer Char"/>
    <w:basedOn w:val="DefaultParagraphFont"/>
    <w:link w:val="Footer"/>
    <w:uiPriority w:val="99"/>
    <w:rsid w:val="00117405"/>
  </w:style>
  <w:style w:type="table" w:styleId="TableGrid">
    <w:name w:val="Table Grid"/>
    <w:basedOn w:val="TableNormal"/>
    <w:uiPriority w:val="59"/>
    <w:rsid w:val="007F5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brodele\AppData\Local\Temp\ST_veidlapa_WORD_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ST_veidlapa_WORD_2021.dotx</Template>
  <TotalTime>0</TotalTime>
  <Pages>3</Pages>
  <Words>5080</Words>
  <Characters>2896</Characters>
  <Application>Microsoft Office Word</Application>
  <DocSecurity>0</DocSecurity>
  <Lines>24</Lines>
  <Paragraphs>15</Paragraphs>
  <ScaleCrop>false</ScaleCrop>
  <HeadingPairs>
    <vt:vector size="2" baseType="variant">
      <vt:variant>
        <vt:lpstr>Title</vt:lpstr>
      </vt:variant>
      <vt:variant>
        <vt:i4>1</vt:i4>
      </vt:variant>
    </vt:vector>
  </HeadingPairs>
  <TitlesOfParts>
    <vt:vector size="1" baseType="lpstr">
      <vt:lpstr/>
    </vt:vector>
  </TitlesOfParts>
  <Company>Latvenergo</Company>
  <LinksUpToDate>false</LinksUpToDate>
  <CharactersWithSpaces>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Inita Brodele</dc:creator>
  <cp:lastModifiedBy>Inese Karpoviča</cp:lastModifiedBy>
  <cp:revision>2</cp:revision>
  <dcterms:created xsi:type="dcterms:W3CDTF">2021-12-03T11:25:00Z</dcterms:created>
  <dcterms:modified xsi:type="dcterms:W3CDTF">2021-12-03T11:25:00Z</dcterms:modified>
</cp:coreProperties>
</file>