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47A0F" w14:textId="77777777" w:rsidR="00420AF7" w:rsidRPr="00561710" w:rsidRDefault="00420AF7" w:rsidP="00420AF7">
      <w:pPr>
        <w:rPr>
          <w:rFonts w:ascii="Arial" w:eastAsia="Times New Roman" w:hAnsi="Arial" w:cs="Arial"/>
          <w:kern w:val="0"/>
          <w:lang w:val="en-LV" w:eastAsia="en-GB"/>
          <w14:ligatures w14:val="none"/>
        </w:rPr>
      </w:pPr>
    </w:p>
    <w:p w14:paraId="729AF790" w14:textId="77777777" w:rsidR="00420AF7" w:rsidRPr="00420AF7" w:rsidRDefault="00420AF7" w:rsidP="00420AF7">
      <w:pPr>
        <w:textAlignment w:val="baseline"/>
        <w:rPr>
          <w:rFonts w:ascii="Arial" w:eastAsia="Times New Roman" w:hAnsi="Arial" w:cs="Arial"/>
          <w:color w:val="002060"/>
          <w:kern w:val="0"/>
          <w:sz w:val="22"/>
          <w:szCs w:val="22"/>
          <w:lang w:val="en-LV" w:eastAsia="en-GB"/>
          <w14:ligatures w14:val="none"/>
        </w:rPr>
      </w:pPr>
      <w:r w:rsidRPr="00420AF7">
        <w:rPr>
          <w:rFonts w:ascii="Arial" w:eastAsia="Times New Roman" w:hAnsi="Arial" w:cs="Arial"/>
          <w:color w:val="000000"/>
          <w:kern w:val="0"/>
          <w:sz w:val="22"/>
          <w:szCs w:val="22"/>
          <w:lang w:val="en-LV" w:eastAsia="en-GB"/>
          <w14:ligatures w14:val="none"/>
        </w:rPr>
        <w:t>No: Ilze Māliņa &lt;Ilze.Malina@TM.GOV.LV&gt;</w:t>
      </w:r>
      <w:r w:rsidRPr="00420AF7">
        <w:rPr>
          <w:rFonts w:ascii="Arial" w:eastAsia="Times New Roman" w:hAnsi="Arial" w:cs="Arial"/>
          <w:color w:val="000000"/>
          <w:kern w:val="0"/>
          <w:sz w:val="22"/>
          <w:szCs w:val="22"/>
          <w:lang w:val="en-LV" w:eastAsia="en-GB"/>
          <w14:ligatures w14:val="none"/>
        </w:rPr>
        <w:br/>
        <w:t>Nosūtīts: pirmdiena, 2021. gada 11. janvāris 16:50</w:t>
      </w:r>
      <w:r w:rsidRPr="00420AF7">
        <w:rPr>
          <w:rFonts w:ascii="Arial" w:eastAsia="Times New Roman" w:hAnsi="Arial" w:cs="Arial"/>
          <w:color w:val="000000"/>
          <w:kern w:val="0"/>
          <w:sz w:val="22"/>
          <w:szCs w:val="22"/>
          <w:lang w:val="en-LV" w:eastAsia="en-GB"/>
          <w14:ligatures w14:val="none"/>
        </w:rPr>
        <w:br/>
        <w:t>Kam: Pasts &lt;Pasts@fm.gov.lv&gt;</w:t>
      </w:r>
      <w:r w:rsidRPr="00420AF7">
        <w:rPr>
          <w:rFonts w:ascii="Arial" w:eastAsia="Times New Roman" w:hAnsi="Arial" w:cs="Arial"/>
          <w:color w:val="000000"/>
          <w:kern w:val="0"/>
          <w:sz w:val="22"/>
          <w:szCs w:val="22"/>
          <w:lang w:val="en-LV" w:eastAsia="en-GB"/>
          <w14:ligatures w14:val="none"/>
        </w:rPr>
        <w:br/>
        <w:t>Kopija: TM KANCELEJA &lt;TM.KANCELEJA@TM.GOV.LV&gt;; Ilze Štrassere &lt;Ilze.Strassere@tm.gov.lv&gt;; Inese Albova &lt;inese.albova@fm.gov.lv&gt;</w:t>
      </w:r>
      <w:r w:rsidRPr="00420AF7">
        <w:rPr>
          <w:rFonts w:ascii="Arial" w:eastAsia="Times New Roman" w:hAnsi="Arial" w:cs="Arial"/>
          <w:color w:val="000000"/>
          <w:kern w:val="0"/>
          <w:sz w:val="22"/>
          <w:szCs w:val="22"/>
          <w:lang w:val="en-LV" w:eastAsia="en-GB"/>
          <w14:ligatures w14:val="none"/>
        </w:rPr>
        <w:br/>
        <w:t>Tēma: Atb.: Par likumprojekta "Grozījumi Sauszemes transportlīdzekļu īpašnieku civiltiesiskās atbildības obligātās apdrošināšanas likumā" (VSS-617) elektronisku saskaņošanu</w:t>
      </w:r>
    </w:p>
    <w:p w14:paraId="3E183A63" w14:textId="77777777" w:rsidR="00420AF7" w:rsidRPr="00420AF7" w:rsidRDefault="00420AF7" w:rsidP="00420AF7">
      <w:pPr>
        <w:textAlignment w:val="baseline"/>
        <w:rPr>
          <w:rFonts w:ascii="Arial" w:eastAsia="Times New Roman" w:hAnsi="Arial" w:cs="Arial"/>
          <w:color w:val="002060"/>
          <w:kern w:val="0"/>
          <w:sz w:val="22"/>
          <w:szCs w:val="22"/>
          <w:lang w:val="en-LV" w:eastAsia="en-GB"/>
          <w14:ligatures w14:val="none"/>
        </w:rPr>
      </w:pPr>
      <w:r w:rsidRPr="00420AF7">
        <w:rPr>
          <w:rFonts w:ascii="Arial" w:eastAsia="Times New Roman" w:hAnsi="Arial" w:cs="Arial"/>
          <w:color w:val="002060"/>
          <w:kern w:val="0"/>
          <w:sz w:val="22"/>
          <w:szCs w:val="22"/>
          <w:lang w:val="en-LV" w:eastAsia="en-GB"/>
          <w14:ligatures w14:val="none"/>
        </w:rPr>
        <w:t> </w:t>
      </w:r>
    </w:p>
    <w:p w14:paraId="4284B12C"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Tieslietu ministrija saskaņā ar Finanšu ministrijas 2021. gada 4. janvāra elektronisko sūtījumu ir izskatījusi precizēto likumprojektu "Grozījumi Sauszemes transportlīdzekļu īpašnieku civiltiesiskās atbildības obligātās apdrošināšanas likumā" (turpmāk – projekts) un atbalsta projekta virzību, izsakot šādus iebildumus: </w:t>
      </w:r>
    </w:p>
    <w:p w14:paraId="778DAA37"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1. Valsts pārvaldes iekārtas likuma 41. panta trešās daļas 1. punkts noteic, ka privātpersonai papildus šā panta otrajā daļā minētajam </w:t>
      </w:r>
      <w:r w:rsidRPr="00420AF7">
        <w:rPr>
          <w:rFonts w:ascii="Arial" w:eastAsia="Times New Roman" w:hAnsi="Arial" w:cs="Arial"/>
          <w:color w:val="000000"/>
          <w:kern w:val="0"/>
          <w:u w:val="single"/>
          <w:bdr w:val="none" w:sz="0" w:space="0" w:color="auto" w:frame="1"/>
          <w:lang w:val="en-LV" w:eastAsia="en-GB"/>
          <w14:ligatures w14:val="none"/>
        </w:rPr>
        <w:t>nevar deleģēt administratīvo aktu izdošanu, izņemot gadījumus, kad tas paredzēts ārējā normatīvajā aktā</w:t>
      </w:r>
      <w:r w:rsidRPr="00420AF7">
        <w:rPr>
          <w:rFonts w:ascii="Arial" w:eastAsia="Times New Roman" w:hAnsi="Arial" w:cs="Arial"/>
          <w:color w:val="000000"/>
          <w:kern w:val="0"/>
          <w:bdr w:val="none" w:sz="0" w:space="0" w:color="auto" w:frame="1"/>
          <w:lang w:val="en-LV" w:eastAsia="en-GB"/>
          <w14:ligatures w14:val="none"/>
        </w:rPr>
        <w:t>. </w:t>
      </w:r>
    </w:p>
    <w:p w14:paraId="10C7F9E4"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Projekta 3. pantā paredzētā Sauszemes transportlīdzekļu īpašnieku civiltiesiskās atbildības obligātās apdrošināšanas likuma (turpmāk – likums) 44. panta 2.</w:t>
      </w:r>
      <w:r w:rsidRPr="00420AF7">
        <w:rPr>
          <w:rFonts w:ascii="Arial" w:eastAsia="Times New Roman" w:hAnsi="Arial" w:cs="Arial"/>
          <w:color w:val="000000"/>
          <w:kern w:val="0"/>
          <w:bdr w:val="none" w:sz="0" w:space="0" w:color="auto" w:frame="1"/>
          <w:vertAlign w:val="superscript"/>
          <w:lang w:val="en-LV" w:eastAsia="en-GB"/>
          <w14:ligatures w14:val="none"/>
        </w:rPr>
        <w:t>1</w:t>
      </w:r>
      <w:r w:rsidRPr="00420AF7">
        <w:rPr>
          <w:rFonts w:ascii="Arial" w:eastAsia="Times New Roman" w:hAnsi="Arial" w:cs="Arial"/>
          <w:color w:val="000000"/>
          <w:kern w:val="0"/>
          <w:bdr w:val="none" w:sz="0" w:space="0" w:color="auto" w:frame="1"/>
          <w:lang w:val="en-LV" w:eastAsia="en-GB"/>
          <w14:ligatures w14:val="none"/>
        </w:rPr>
        <w:t> daļa noteic, ka </w:t>
      </w:r>
      <w:r w:rsidRPr="00420AF7">
        <w:rPr>
          <w:rFonts w:ascii="Arial" w:eastAsia="Times New Roman" w:hAnsi="Arial" w:cs="Arial"/>
          <w:color w:val="000000"/>
          <w:kern w:val="0"/>
          <w:u w:val="single"/>
          <w:bdr w:val="none" w:sz="0" w:space="0" w:color="auto" w:frame="1"/>
          <w:lang w:val="en-LV" w:eastAsia="en-GB"/>
          <w14:ligatures w14:val="none"/>
        </w:rPr>
        <w:t>Latvijas Transportlīdzekļu apdrošinātāju birojam ir deleģētas tiesības izdot administratīvos aktus transportlīdzekļu tehnisko ekspertu sertificēšanas jomā</w:t>
      </w:r>
      <w:r w:rsidRPr="00420AF7">
        <w:rPr>
          <w:rFonts w:ascii="Arial" w:eastAsia="Times New Roman" w:hAnsi="Arial" w:cs="Arial"/>
          <w:color w:val="000000"/>
          <w:kern w:val="0"/>
          <w:bdr w:val="none" w:sz="0" w:space="0" w:color="auto" w:frame="1"/>
          <w:lang w:val="en-LV" w:eastAsia="en-GB"/>
          <w14:ligatures w14:val="none"/>
        </w:rPr>
        <w:t>. </w:t>
      </w:r>
      <w:r w:rsidRPr="00420AF7">
        <w:rPr>
          <w:rFonts w:ascii="Arial" w:eastAsia="Times New Roman" w:hAnsi="Arial" w:cs="Arial"/>
          <w:color w:val="000000"/>
          <w:kern w:val="0"/>
          <w:u w:val="single"/>
          <w:bdr w:val="none" w:sz="0" w:space="0" w:color="auto" w:frame="1"/>
          <w:lang w:val="en-LV" w:eastAsia="en-GB"/>
          <w14:ligatures w14:val="none"/>
        </w:rPr>
        <w:t>Jautājumos, kas saistīti ar transportlīdzekļu tehnisko ekspertu sertificēšanu, Latvijas Transportlīdzekļu apdrošinātāju birojs atrodas Finanšu ministrijas pārraudzībā</w:t>
      </w:r>
      <w:r w:rsidRPr="00420AF7">
        <w:rPr>
          <w:rFonts w:ascii="Arial" w:eastAsia="Times New Roman" w:hAnsi="Arial" w:cs="Arial"/>
          <w:color w:val="000000"/>
          <w:kern w:val="0"/>
          <w:bdr w:val="none" w:sz="0" w:space="0" w:color="auto" w:frame="1"/>
          <w:lang w:val="en-LV" w:eastAsia="en-GB"/>
          <w14:ligatures w14:val="none"/>
        </w:rPr>
        <w:t>. </w:t>
      </w:r>
    </w:p>
    <w:p w14:paraId="62CA67AF"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Vēršam uzmanību uz to, ka šobrīd spēkā esošo Ministru kabineta 2005. gada 12. aprīļa noteikumu Nr. 251 "Transportlīdzekļu tehniskās ekspertīzes un tehnisko ekspertu sertificēšanas noteikumi" (turpmāk – noteikumi) 9.1. apakšpunkts paredz, ka </w:t>
      </w:r>
      <w:r w:rsidRPr="00420AF7">
        <w:rPr>
          <w:rFonts w:ascii="Arial" w:eastAsia="Times New Roman" w:hAnsi="Arial" w:cs="Arial"/>
          <w:color w:val="000000"/>
          <w:kern w:val="0"/>
          <w:u w:val="single"/>
          <w:bdr w:val="none" w:sz="0" w:space="0" w:color="auto" w:frame="1"/>
          <w:lang w:val="en-LV" w:eastAsia="en-GB"/>
          <w14:ligatures w14:val="none"/>
        </w:rPr>
        <w:t>Latvijas Transportlīdzekļu apdrošinātāju birojs, pamatojoties uz attiecīgajiem sertificēšanas komisijas atzinumiem, pieņem lēmumus par sertifikāta piešķiršanu, sertifikāta atkārtotu izsniegšanu, sertifikāta darbības apturēšanu, sertifikāta anulēšanu vai par atteikumu piešķirt sertifikātu</w:t>
      </w:r>
      <w:r w:rsidRPr="00420AF7">
        <w:rPr>
          <w:rFonts w:ascii="Arial" w:eastAsia="Times New Roman" w:hAnsi="Arial" w:cs="Arial"/>
          <w:color w:val="000000"/>
          <w:kern w:val="0"/>
          <w:bdr w:val="none" w:sz="0" w:space="0" w:color="auto" w:frame="1"/>
          <w:lang w:val="en-LV" w:eastAsia="en-GB"/>
          <w14:ligatures w14:val="none"/>
        </w:rPr>
        <w:t>. </w:t>
      </w:r>
    </w:p>
    <w:p w14:paraId="09F885D6"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Līdz ar to šobrīd noteikumos jau ir noteiktas Latvijas Transportlīdzekļu apdrošinātāju biroja tiesības izdot attiecīgos administratīvos aktus. </w:t>
      </w:r>
    </w:p>
    <w:p w14:paraId="1E330D61"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Papildus vēršam uzmanību uz to, ka projekta 3. pantā paredzētā likuma 44. panta 2.</w:t>
      </w:r>
      <w:r w:rsidRPr="00420AF7">
        <w:rPr>
          <w:rFonts w:ascii="Arial" w:eastAsia="Times New Roman" w:hAnsi="Arial" w:cs="Arial"/>
          <w:color w:val="000000"/>
          <w:kern w:val="0"/>
          <w:bdr w:val="none" w:sz="0" w:space="0" w:color="auto" w:frame="1"/>
          <w:vertAlign w:val="superscript"/>
          <w:lang w:val="en-LV" w:eastAsia="en-GB"/>
          <w14:ligatures w14:val="none"/>
        </w:rPr>
        <w:t>2</w:t>
      </w:r>
      <w:r w:rsidRPr="00420AF7">
        <w:rPr>
          <w:rFonts w:ascii="Arial" w:eastAsia="Times New Roman" w:hAnsi="Arial" w:cs="Arial"/>
          <w:color w:val="000000"/>
          <w:kern w:val="0"/>
          <w:bdr w:val="none" w:sz="0" w:space="0" w:color="auto" w:frame="1"/>
          <w:lang w:val="en-LV" w:eastAsia="en-GB"/>
          <w14:ligatures w14:val="none"/>
        </w:rPr>
        <w:t> daļa noteic, ka </w:t>
      </w:r>
      <w:r w:rsidRPr="00420AF7">
        <w:rPr>
          <w:rFonts w:ascii="Arial" w:eastAsia="Times New Roman" w:hAnsi="Arial" w:cs="Arial"/>
          <w:color w:val="000000"/>
          <w:kern w:val="0"/>
          <w:u w:val="single"/>
          <w:bdr w:val="none" w:sz="0" w:space="0" w:color="auto" w:frame="1"/>
          <w:lang w:val="en-LV" w:eastAsia="en-GB"/>
          <w14:ligatures w14:val="none"/>
        </w:rPr>
        <w:t>Latvijas Transportlīdzekļu apdrošinātāju biroja lēmumus par transportlīdzekļu tehniskā eksperta sertifikāta izsniegšanu, sertifikāta atkārtotu izsniegšanu, sertifikāta darbības apturēšanu, sertifikāta anulēšanu vai par atteikumu izsniegt sertifikātu var pārsūdzēt tiesā Administratīvā procesa likumā noteiktajā kārtībā</w:t>
      </w:r>
      <w:r w:rsidRPr="00420AF7">
        <w:rPr>
          <w:rFonts w:ascii="Arial" w:eastAsia="Times New Roman" w:hAnsi="Arial" w:cs="Arial"/>
          <w:color w:val="000000"/>
          <w:kern w:val="0"/>
          <w:bdr w:val="none" w:sz="0" w:space="0" w:color="auto" w:frame="1"/>
          <w:lang w:val="en-LV" w:eastAsia="en-GB"/>
          <w14:ligatures w14:val="none"/>
        </w:rPr>
        <w:t>. </w:t>
      </w:r>
    </w:p>
    <w:p w14:paraId="27950347"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Savukārt noteikumu 40. punkts paredz, ka </w:t>
      </w:r>
      <w:r w:rsidRPr="00420AF7">
        <w:rPr>
          <w:rFonts w:ascii="Arial" w:eastAsia="Times New Roman" w:hAnsi="Arial" w:cs="Arial"/>
          <w:color w:val="000000"/>
          <w:kern w:val="0"/>
          <w:u w:val="single"/>
          <w:bdr w:val="none" w:sz="0" w:space="0" w:color="auto" w:frame="1"/>
          <w:shd w:val="clear" w:color="auto" w:fill="FFFFFF"/>
          <w:lang w:val="en-LV" w:eastAsia="en-GB"/>
          <w14:ligatures w14:val="none"/>
        </w:rPr>
        <w:t>sūdzības par sertificēšanas procesā pieļautajām nepilnībām iesniedz Latvijas Transportlīdzekļu apdrošinātāju birojā, un tās izskata mēneša laikā pēc saņemšanas</w:t>
      </w:r>
      <w:r w:rsidRPr="00420AF7">
        <w:rPr>
          <w:rFonts w:ascii="Arial" w:eastAsia="Times New Roman" w:hAnsi="Arial" w:cs="Arial"/>
          <w:color w:val="000000"/>
          <w:kern w:val="0"/>
          <w:bdr w:val="none" w:sz="0" w:space="0" w:color="auto" w:frame="1"/>
          <w:shd w:val="clear" w:color="auto" w:fill="FFFFFF"/>
          <w:lang w:val="en-LV" w:eastAsia="en-GB"/>
          <w14:ligatures w14:val="none"/>
        </w:rPr>
        <w:t>. </w:t>
      </w:r>
    </w:p>
    <w:p w14:paraId="1AAB87BF"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shd w:val="clear" w:color="auto" w:fill="FFFFFF"/>
          <w:lang w:val="en-LV" w:eastAsia="en-GB"/>
          <w14:ligatures w14:val="none"/>
        </w:rPr>
        <w:t>Ievērojot minēto,</w:t>
      </w:r>
      <w:r w:rsidRPr="00420AF7">
        <w:rPr>
          <w:rFonts w:ascii="Arial" w:eastAsia="Times New Roman" w:hAnsi="Arial" w:cs="Arial"/>
          <w:color w:val="000000"/>
          <w:kern w:val="0"/>
          <w:bdr w:val="none" w:sz="0" w:space="0" w:color="auto" w:frame="1"/>
          <w:lang w:val="en-LV" w:eastAsia="en-GB"/>
          <w14:ligatures w14:val="none"/>
        </w:rPr>
        <w:t> projekta 3. pantā paredzētajā likuma 44. panta 2.</w:t>
      </w:r>
      <w:r w:rsidRPr="00420AF7">
        <w:rPr>
          <w:rFonts w:ascii="Arial" w:eastAsia="Times New Roman" w:hAnsi="Arial" w:cs="Arial"/>
          <w:color w:val="000000"/>
          <w:kern w:val="0"/>
          <w:bdr w:val="none" w:sz="0" w:space="0" w:color="auto" w:frame="1"/>
          <w:vertAlign w:val="superscript"/>
          <w:lang w:val="en-LV" w:eastAsia="en-GB"/>
          <w14:ligatures w14:val="none"/>
        </w:rPr>
        <w:t>1</w:t>
      </w:r>
      <w:r w:rsidRPr="00420AF7">
        <w:rPr>
          <w:rFonts w:ascii="Arial" w:eastAsia="Times New Roman" w:hAnsi="Arial" w:cs="Arial"/>
          <w:color w:val="000000"/>
          <w:kern w:val="0"/>
          <w:bdr w:val="none" w:sz="0" w:space="0" w:color="auto" w:frame="1"/>
          <w:lang w:val="en-LV" w:eastAsia="en-GB"/>
          <w14:ligatures w14:val="none"/>
        </w:rPr>
        <w:t> un 2.</w:t>
      </w:r>
      <w:r w:rsidRPr="00420AF7">
        <w:rPr>
          <w:rFonts w:ascii="Arial" w:eastAsia="Times New Roman" w:hAnsi="Arial" w:cs="Arial"/>
          <w:color w:val="000000"/>
          <w:kern w:val="0"/>
          <w:bdr w:val="none" w:sz="0" w:space="0" w:color="auto" w:frame="1"/>
          <w:vertAlign w:val="superscript"/>
          <w:lang w:val="en-LV" w:eastAsia="en-GB"/>
          <w14:ligatures w14:val="none"/>
        </w:rPr>
        <w:t>2</w:t>
      </w:r>
      <w:r w:rsidRPr="00420AF7">
        <w:rPr>
          <w:rFonts w:ascii="Arial" w:eastAsia="Times New Roman" w:hAnsi="Arial" w:cs="Arial"/>
          <w:color w:val="000000"/>
          <w:kern w:val="0"/>
          <w:bdr w:val="none" w:sz="0" w:space="0" w:color="auto" w:frame="1"/>
          <w:lang w:val="en-LV" w:eastAsia="en-GB"/>
          <w14:ligatures w14:val="none"/>
        </w:rPr>
        <w:t> daļā un noteikumu 9.1. apakšpunktā un 40. punktā ir gan dublējošs, gan pretrunīgs regulējums. Turklāt </w:t>
      </w:r>
      <w:r w:rsidRPr="00420AF7">
        <w:rPr>
          <w:rFonts w:ascii="Arial" w:eastAsia="Times New Roman" w:hAnsi="Arial" w:cs="Arial"/>
          <w:color w:val="000000"/>
          <w:kern w:val="0"/>
          <w:bdr w:val="none" w:sz="0" w:space="0" w:color="auto" w:frame="1"/>
          <w:shd w:val="clear" w:color="auto" w:fill="FFFFFF"/>
          <w:lang w:val="en-LV" w:eastAsia="en-GB"/>
          <w14:ligatures w14:val="none"/>
        </w:rPr>
        <w:t>atbilstoši Ministru kabineta 2009. gada 3. februāra noteikumu Nr. 108 "Normatīvo aktu projektu sagatavošanas noteikumi" 3.2. apakšpunktā noteiktajam n</w:t>
      </w:r>
      <w:r w:rsidRPr="00420AF7">
        <w:rPr>
          <w:rFonts w:ascii="Arial" w:eastAsia="Times New Roman" w:hAnsi="Arial" w:cs="Arial"/>
          <w:color w:val="000000"/>
          <w:kern w:val="0"/>
          <w:bdr w:val="none" w:sz="0" w:space="0" w:color="auto" w:frame="1"/>
          <w:lang w:val="en-LV" w:eastAsia="en-GB"/>
          <w14:ligatures w14:val="none"/>
        </w:rPr>
        <w:t>ormatīvā akta projektā neietver normas, kas dublē augstāka vai tāda paša spēka normatīvā akta tiesību normās ietverto normatīvo regulējumu. </w:t>
      </w:r>
    </w:p>
    <w:p w14:paraId="418372C5"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Līdz ar to ir nepieciešams izvērtēt iespēju paredzēt attiecīgus grozījumus noteikumos, vienlaikus aizpildot projekta sākotnējās (ex-ante) ietekmes novērtējuma ziņojuma (turpmāk – anotācija) IV sadaļu </w:t>
      </w:r>
      <w:r w:rsidRPr="00420AF7">
        <w:rPr>
          <w:rFonts w:ascii="Arial" w:eastAsia="Times New Roman" w:hAnsi="Arial" w:cs="Arial"/>
          <w:color w:val="000000"/>
          <w:kern w:val="0"/>
          <w:bdr w:val="none" w:sz="0" w:space="0" w:color="auto" w:frame="1"/>
          <w:shd w:val="clear" w:color="auto" w:fill="FDFCFD"/>
          <w:lang w:val="en-LV" w:eastAsia="en-GB"/>
          <w14:ligatures w14:val="none"/>
        </w:rPr>
        <w:t xml:space="preserve">atbilstoši Ministru kabineta 2009. gada </w:t>
      </w:r>
      <w:r w:rsidRPr="00420AF7">
        <w:rPr>
          <w:rFonts w:ascii="Arial" w:eastAsia="Times New Roman" w:hAnsi="Arial" w:cs="Arial"/>
          <w:color w:val="000000"/>
          <w:kern w:val="0"/>
          <w:bdr w:val="none" w:sz="0" w:space="0" w:color="auto" w:frame="1"/>
          <w:shd w:val="clear" w:color="auto" w:fill="FDFCFD"/>
          <w:lang w:val="en-LV" w:eastAsia="en-GB"/>
          <w14:ligatures w14:val="none"/>
        </w:rPr>
        <w:lastRenderedPageBreak/>
        <w:t>15. decembra instrukcijas Nr. 19 "Tiesību akta projekta sākotnējās ietekmes izvērtēšanas kārtība" (turpmāk – instrukcija) V nodaļā noteiktajām prasībām.</w:t>
      </w:r>
      <w:r w:rsidRPr="00420AF7">
        <w:rPr>
          <w:rFonts w:ascii="Arial" w:eastAsia="Times New Roman" w:hAnsi="Arial" w:cs="Arial"/>
          <w:color w:val="000000"/>
          <w:kern w:val="0"/>
          <w:bdr w:val="none" w:sz="0" w:space="0" w:color="auto" w:frame="1"/>
          <w:shd w:val="clear" w:color="auto" w:fill="FFFFFF"/>
          <w:lang w:val="en-LV" w:eastAsia="en-GB"/>
          <w14:ligatures w14:val="none"/>
        </w:rPr>
        <w:t> </w:t>
      </w:r>
    </w:p>
    <w:p w14:paraId="6AD6B4DF"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Papildus vēršam uzmanību uz to, ka gan likuma 37. panta piektajā daļā ietvertais pilnvarojums Ministru kabinetam, gan noteikumu saturs neatbilst Satversmes tiesas paustajām atziņām (skat., piemēram, Satversmes tiesas 2018. gada 18. oktobra sprieduma lietā Nr. 2017-33-03 14. punktu, Satversmes tiesas 2017. gada 29  jūnija sprieduma lietā Nr. 2016-23-03 16. punktu un Satversmes tiesas 2012. gada 2. maija sprieduma lietā Nr. 2011-17-03 13.3. apakšpunktu), tādēļ lūdzam izvērtēt iespēju paredzēt grozījumus likuma 37. panta piektajā daļā ietvertajā pilnvarojumā Ministru kabinetam un pēc tam, kad būs pieņemti attiecīgi grozījumi likumā, izstrādāt jaunu Ministru kabineta noteikumu projektu. </w:t>
      </w:r>
    </w:p>
    <w:p w14:paraId="49E5CFE3"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Vienlaikus vēršam uzmanību uz to, ka anotācijas I sadaļas 2. punktā ir norādīts, ka, ievērojot, ka </w:t>
      </w:r>
      <w:r w:rsidRPr="00420AF7">
        <w:rPr>
          <w:rFonts w:ascii="Arial" w:eastAsia="Times New Roman" w:hAnsi="Arial" w:cs="Arial"/>
          <w:color w:val="000000"/>
          <w:kern w:val="0"/>
          <w:u w:val="single"/>
          <w:bdr w:val="none" w:sz="0" w:space="0" w:color="auto" w:frame="1"/>
          <w:lang w:val="en-LV" w:eastAsia="en-GB"/>
          <w14:ligatures w14:val="none"/>
        </w:rPr>
        <w:t>Finanšu ministrijas pamatfunkcija ir finanšu pakalpojumu tirgus (tai skaitā, sauszemes transportlīdzekļu īpašnieku civiltiesiskās atbildības obligātā apdrošināšana) (turpmāk – OCTA)) regulējuma politikas veidošana, efektīvāk un lietderīgāk ir noteikt, ka lēmumus var pārsūdzēt tiesā, nenosakot Finanšu ministriju kā augstāko iestādi attiecībā uz šo lēmumu apstrīdēšanu. Līdz ar to arī netiktu radīts papildu administratīvais slogs, kas būtu nepieciešams, lai Finanšu ministrija varētu nodrošināt resursus, tai skaitā, cilvēkresursus ar zināšanām transportlīdzekļu inženierijā, apstrīdēto administratīvo aktu izskatīšanai</w:t>
      </w:r>
      <w:r w:rsidRPr="00420AF7">
        <w:rPr>
          <w:rFonts w:ascii="Arial" w:eastAsia="Times New Roman" w:hAnsi="Arial" w:cs="Arial"/>
          <w:color w:val="000000"/>
          <w:kern w:val="0"/>
          <w:bdr w:val="none" w:sz="0" w:space="0" w:color="auto" w:frame="1"/>
          <w:lang w:val="en-LV" w:eastAsia="en-GB"/>
          <w14:ligatures w14:val="none"/>
        </w:rPr>
        <w:t>. Vēršam uzmanību uz to, ka Administratīvā procesa likuma 76. panta otrā daļa paredz, ka </w:t>
      </w:r>
      <w:r w:rsidRPr="00420AF7">
        <w:rPr>
          <w:rFonts w:ascii="Arial" w:eastAsia="Times New Roman" w:hAnsi="Arial" w:cs="Arial"/>
          <w:color w:val="000000"/>
          <w:kern w:val="0"/>
          <w:u w:val="single"/>
          <w:bdr w:val="none" w:sz="0" w:space="0" w:color="auto" w:frame="1"/>
          <w:lang w:val="en-LV" w:eastAsia="en-GB"/>
          <w14:ligatures w14:val="none"/>
        </w:rPr>
        <w:t>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w:t>
      </w:r>
      <w:r w:rsidRPr="00420AF7">
        <w:rPr>
          <w:rFonts w:ascii="Arial" w:eastAsia="Times New Roman" w:hAnsi="Arial" w:cs="Arial"/>
          <w:color w:val="000000"/>
          <w:kern w:val="0"/>
          <w:bdr w:val="none" w:sz="0" w:space="0" w:color="auto" w:frame="1"/>
          <w:lang w:val="en-LV" w:eastAsia="en-GB"/>
          <w14:ligatures w14:val="none"/>
        </w:rPr>
        <w:t> Administratīvā akta apstrīdēšanas stadijā augstākā iestāde var labot zemākas iestādes pieļautās kļūdas (piemēram, izdot labvēlīgu administratīvo aktu), tādēļ ne vienmēr būs nepieciešams administratīvo aktu pārsūdzēt tiesā, un līdz ar to arī tiktu samazināta tiesu noslodze. Turklāt iepriekš minētā anotācijas I sadaļas 2. punktā ietvertā informācija nav uzskatāma par pamatojumu, lai palielinātu administratīvo slogu administratīvajai tiesai. Tāpat nav zināms, cik lēmumi tiek apstrīdēti un pārsūdzēti, piemēram, gada laikā. Nav arī saprotams, kā jautājumos, kas saistīti ar transportlīdzekļu tehnisko ekspertu sertificēšanu, atbilstoši projekta 3. pantā paredzētajā likuma 44. panta 2.</w:t>
      </w:r>
      <w:r w:rsidRPr="00420AF7">
        <w:rPr>
          <w:rFonts w:ascii="Arial" w:eastAsia="Times New Roman" w:hAnsi="Arial" w:cs="Arial"/>
          <w:color w:val="000000"/>
          <w:kern w:val="0"/>
          <w:bdr w:val="none" w:sz="0" w:space="0" w:color="auto" w:frame="1"/>
          <w:vertAlign w:val="superscript"/>
          <w:lang w:val="en-LV" w:eastAsia="en-GB"/>
          <w14:ligatures w14:val="none"/>
        </w:rPr>
        <w:t>1</w:t>
      </w:r>
      <w:r w:rsidRPr="00420AF7">
        <w:rPr>
          <w:rFonts w:ascii="Arial" w:eastAsia="Times New Roman" w:hAnsi="Arial" w:cs="Arial"/>
          <w:color w:val="000000"/>
          <w:kern w:val="0"/>
          <w:bdr w:val="none" w:sz="0" w:space="0" w:color="auto" w:frame="1"/>
          <w:lang w:val="en-LV" w:eastAsia="en-GB"/>
          <w14:ligatures w14:val="none"/>
        </w:rPr>
        <w:t> daļā minētajam Finanšu ministrija īstenos pārraudzību, ja Latvijas Transportlīdzekļu apdrošinātāju biroja lēmumus nevarēs apstrīdēt augstākā iestādē, proti, Finanšu ministrijā. Ievērojot minēto, lūdzam izvērtēt projekta 3. pantā paredzētajā likuma 44. panta 2.</w:t>
      </w:r>
      <w:r w:rsidRPr="00420AF7">
        <w:rPr>
          <w:rFonts w:ascii="Arial" w:eastAsia="Times New Roman" w:hAnsi="Arial" w:cs="Arial"/>
          <w:color w:val="000000"/>
          <w:kern w:val="0"/>
          <w:bdr w:val="none" w:sz="0" w:space="0" w:color="auto" w:frame="1"/>
          <w:vertAlign w:val="superscript"/>
          <w:lang w:val="en-LV" w:eastAsia="en-GB"/>
          <w14:ligatures w14:val="none"/>
        </w:rPr>
        <w:t>1</w:t>
      </w:r>
      <w:r w:rsidRPr="00420AF7">
        <w:rPr>
          <w:rFonts w:ascii="Arial" w:eastAsia="Times New Roman" w:hAnsi="Arial" w:cs="Arial"/>
          <w:color w:val="000000"/>
          <w:kern w:val="0"/>
          <w:bdr w:val="none" w:sz="0" w:space="0" w:color="auto" w:frame="1"/>
          <w:lang w:val="en-LV" w:eastAsia="en-GB"/>
          <w14:ligatures w14:val="none"/>
        </w:rPr>
        <w:t> un 2.</w:t>
      </w:r>
      <w:r w:rsidRPr="00420AF7">
        <w:rPr>
          <w:rFonts w:ascii="Arial" w:eastAsia="Times New Roman" w:hAnsi="Arial" w:cs="Arial"/>
          <w:color w:val="000000"/>
          <w:kern w:val="0"/>
          <w:bdr w:val="none" w:sz="0" w:space="0" w:color="auto" w:frame="1"/>
          <w:vertAlign w:val="superscript"/>
          <w:lang w:val="en-LV" w:eastAsia="en-GB"/>
          <w14:ligatures w14:val="none"/>
        </w:rPr>
        <w:t>2</w:t>
      </w:r>
      <w:r w:rsidRPr="00420AF7">
        <w:rPr>
          <w:rFonts w:ascii="Arial" w:eastAsia="Times New Roman" w:hAnsi="Arial" w:cs="Arial"/>
          <w:color w:val="000000"/>
          <w:kern w:val="0"/>
          <w:bdr w:val="none" w:sz="0" w:space="0" w:color="auto" w:frame="1"/>
          <w:lang w:val="en-LV" w:eastAsia="en-GB"/>
          <w14:ligatures w14:val="none"/>
        </w:rPr>
        <w:t> daļā ietverto regulējumu un nepieciešamības gadījumā precizēt to, kā arī papildināt anotācijas I sadaļas 2. punktu ar izvērtu skaidrojumu. </w:t>
      </w:r>
    </w:p>
    <w:p w14:paraId="1065217E"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2. A</w:t>
      </w:r>
      <w:r w:rsidRPr="00420AF7">
        <w:rPr>
          <w:rFonts w:ascii="Arial" w:eastAsia="Times New Roman" w:hAnsi="Arial" w:cs="Arial"/>
          <w:color w:val="201F1E"/>
          <w:kern w:val="0"/>
          <w:bdr w:val="none" w:sz="0" w:space="0" w:color="auto" w:frame="1"/>
          <w:lang w:val="en-LV" w:eastAsia="en-GB"/>
          <w14:ligatures w14:val="none"/>
        </w:rPr>
        <w:t>tbilstoši anotācijas I sadaļas 2. punktā minētajam dati par personas sodāmību tiks uzglabāti līdz brīdim, kad attiecīgā persona izbeidz pildīt valdes locekļa pienākumus. No minētā skaidrojuma nav saprotama datu dzēšanas kārtība, proti, tieši kurā brīdī tiks dzēsti dati par sodāmību. Ievērojot minēto, lūdzam papildināt anotācijas I sadaļas 2. punktu ar skaidrojumu par datu dzēšanas kārtību. </w:t>
      </w:r>
    </w:p>
    <w:p w14:paraId="12C29314"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201F1E"/>
          <w:kern w:val="0"/>
          <w:bdr w:val="none" w:sz="0" w:space="0" w:color="auto" w:frame="1"/>
          <w:lang w:val="en-LV" w:eastAsia="en-GB"/>
          <w14:ligatures w14:val="none"/>
        </w:rPr>
        <w:t xml:space="preserve">3. Saskaņā ar projekta 7. pantā paredzēto likuma 54. panta trešo daļu pēc apdrošinātāja vai Latvijas Transportlīdzekļu apdrošinātāju biroja pieprasījuma Veselības un darbspēju ekspertīzes ārstu valsts komisija sniedz lēmuma par invaliditāti un ekspertīzes akta kopiju, lai saskaņā ar šo likumu apdrošinātājs un Latvijas Transportlīdzekļu apdrošinātāju birojs varētu izvērtēt cietušajai personai noteiktās invaliditātes saistību ar ceļu satiksmes negadījumā gūtajām traumām un </w:t>
      </w:r>
      <w:r w:rsidRPr="00420AF7">
        <w:rPr>
          <w:rFonts w:ascii="Arial" w:eastAsia="Times New Roman" w:hAnsi="Arial" w:cs="Arial"/>
          <w:color w:val="201F1E"/>
          <w:kern w:val="0"/>
          <w:bdr w:val="none" w:sz="0" w:space="0" w:color="auto" w:frame="1"/>
          <w:lang w:val="en-LV" w:eastAsia="en-GB"/>
          <w14:ligatures w14:val="none"/>
        </w:rPr>
        <w:lastRenderedPageBreak/>
        <w:t>pieņemt lēmumu par apdrošināšanas atlīdzību. Vēršam uzmanību uz to,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51. apsvērumam personas datiem, kas pēc savas būtības ir īpaši sensitīvi saistībā ar pamattiesībām un brīvībām, pienākas īpaša aizsardzība, jo to apstrādes konteksts varētu radīt nopietnu risku pamattiesībām un brīvībām. </w:t>
      </w:r>
    </w:p>
    <w:p w14:paraId="4D911180" w14:textId="77777777" w:rsidR="00420AF7" w:rsidRPr="00420AF7" w:rsidRDefault="00420AF7" w:rsidP="00420AF7">
      <w:pPr>
        <w:ind w:firstLine="720"/>
        <w:jc w:val="both"/>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Anotācijas I sadaļas 2. punktā ir skaidrots, ka īpašu kategoriju datu apstrādes tiesiskais pamats ir Datu regulas 6. panta 1. punkta e) apakšpunkts un 9. panta 2. punkta g) apakšpunkts. Ja datu apstrāde ir vajadzīga būtisku sabiedrības interešu dēļ, tad sabiedriskajām interesēm būtu jābūt definētām. Tieslietu ministrijas ieskatā, būtu vērtējams, vai datu apstrādes tiesiskais pamats varētu būt Datu regulas 9. panta 2. punkta b) apakšpunkts. Ievērojot minēto, lūdzam atkārtoti izvērtēt veselības datu apstrādes tiesisko pamatu, kā arī skaidrot, ko ietver jēdziens "sabiedrības intereses". Anotācijas I sadaļas 2. punktā ir skaidrots, ka sabiedrības intereses ir aizsargāt ceļu satiksmes negadījumos cietušo personu intereses un nodrošināt OCTA sistēmas reputāciju, tomēr attiecībā uz OCTA sistēmas reputāciju jēdziena "sabiedrības intereses" lietojums ir apšaubāms. </w:t>
      </w:r>
    </w:p>
    <w:p w14:paraId="51592DEC"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Vienlaikus lūdzam precizēt datu par invaliditāti apstrādes mērķi. Anotācijas I sadaļas 2. punktā ir skaidrots, ka apdrošinātāji un </w:t>
      </w:r>
      <w:r w:rsidRPr="00420AF7">
        <w:rPr>
          <w:rFonts w:ascii="Arial" w:eastAsia="Times New Roman" w:hAnsi="Arial" w:cs="Arial"/>
          <w:color w:val="201F1E"/>
          <w:kern w:val="0"/>
          <w:bdr w:val="none" w:sz="0" w:space="0" w:color="auto" w:frame="1"/>
          <w:lang w:val="en-LV" w:eastAsia="en-GB"/>
          <w14:ligatures w14:val="none"/>
        </w:rPr>
        <w:t>Latvijas Transportlīdzekļu apdrošinātāju birojs</w:t>
      </w:r>
      <w:r w:rsidRPr="00420AF7">
        <w:rPr>
          <w:rFonts w:ascii="Arial" w:eastAsia="Times New Roman" w:hAnsi="Arial" w:cs="Arial"/>
          <w:color w:val="000000"/>
          <w:kern w:val="0"/>
          <w:bdr w:val="none" w:sz="0" w:space="0" w:color="auto" w:frame="1"/>
          <w:lang w:val="en-LV" w:eastAsia="en-GB"/>
          <w14:ligatures w14:val="none"/>
        </w:rPr>
        <w:t> paredzēs atbilstošus pasākumus cietušās personas (datu subjekta) pamattiesību un interešu aizsardzībai, un minēto datu apstrādi veiks tikai tādā gadījumā, ja tā būs nepieciešama cēloņsakarības noteikšanai un tikai nolūkā noteikt cēloņsakarību. Tālāk anotācijas I sadaļas 2. punktā ir skaidrots, ka cietušās personas datu un veselības datu apstrādes procesā apdrošinātājs un </w:t>
      </w:r>
      <w:r w:rsidRPr="00420AF7">
        <w:rPr>
          <w:rFonts w:ascii="Arial" w:eastAsia="Times New Roman" w:hAnsi="Arial" w:cs="Arial"/>
          <w:color w:val="201F1E"/>
          <w:kern w:val="0"/>
          <w:bdr w:val="none" w:sz="0" w:space="0" w:color="auto" w:frame="1"/>
          <w:lang w:val="en-LV" w:eastAsia="en-GB"/>
          <w14:ligatures w14:val="none"/>
        </w:rPr>
        <w:t>Latvijas Transportlīdzekļu apdrošinātāju birojs</w:t>
      </w:r>
      <w:r w:rsidRPr="00420AF7">
        <w:rPr>
          <w:rFonts w:ascii="Arial" w:eastAsia="Times New Roman" w:hAnsi="Arial" w:cs="Arial"/>
          <w:color w:val="000000"/>
          <w:kern w:val="0"/>
          <w:bdr w:val="none" w:sz="0" w:space="0" w:color="auto" w:frame="1"/>
          <w:lang w:val="en-LV" w:eastAsia="en-GB"/>
          <w14:ligatures w14:val="none"/>
        </w:rPr>
        <w:t> var gūt pārliecību par cietušās personas gūto traumu cēloņsakarību ar ceļu satiksmes negadījumu un tādējādi veikt pamatotu zaudējumu atlīdzības izmaksu cietušajai personai. Savukārt projekts paredz izvērtēt cietušajai personai noteiktās invaliditātes saistību ar ceļu satiksmes negadījumā gūtajām traumām un pieņemt lēmumu par apdrošināšanas atlīdzību. Lūdzam saskaņot datu par invaliditāti apstrādes mērķi un attiecīgi precizēt projektu vai anotāciju. </w:t>
      </w:r>
    </w:p>
    <w:p w14:paraId="65438914"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Papildus vēršam uzmanību uz to, ka projekta 7. pantā paredzētā likuma 54. panta trešā daļa noteic, ka apdrošinātājs un </w:t>
      </w:r>
      <w:r w:rsidRPr="00420AF7">
        <w:rPr>
          <w:rFonts w:ascii="Arial" w:eastAsia="Times New Roman" w:hAnsi="Arial" w:cs="Arial"/>
          <w:color w:val="201F1E"/>
          <w:kern w:val="0"/>
          <w:bdr w:val="none" w:sz="0" w:space="0" w:color="auto" w:frame="1"/>
          <w:lang w:val="en-LV" w:eastAsia="en-GB"/>
          <w14:ligatures w14:val="none"/>
        </w:rPr>
        <w:t>Latvijas Transportlīdzekļu apdrošinātāju birojs</w:t>
      </w:r>
      <w:r w:rsidRPr="00420AF7">
        <w:rPr>
          <w:rFonts w:ascii="Arial" w:eastAsia="Times New Roman" w:hAnsi="Arial" w:cs="Arial"/>
          <w:color w:val="000000"/>
          <w:kern w:val="0"/>
          <w:bdr w:val="none" w:sz="0" w:space="0" w:color="auto" w:frame="1"/>
          <w:lang w:val="en-LV" w:eastAsia="en-GB"/>
          <w14:ligatures w14:val="none"/>
        </w:rPr>
        <w:t> ir tiesīgi pieprasīt lēmuma par invaliditāti un ekspertīzes akta kopiju. Norādām, ka likums stājās spēkā 2004. gada 1. maijā, un šī likuma anotācijā nav skaidrota 54. panta pirmajā daļā ietvertā norma par apdrošinātāja vai </w:t>
      </w:r>
      <w:r w:rsidRPr="00420AF7">
        <w:rPr>
          <w:rFonts w:ascii="Arial" w:eastAsia="Times New Roman" w:hAnsi="Arial" w:cs="Arial"/>
          <w:color w:val="201F1E"/>
          <w:kern w:val="0"/>
          <w:bdr w:val="none" w:sz="0" w:space="0" w:color="auto" w:frame="1"/>
          <w:lang w:val="en-LV" w:eastAsia="en-GB"/>
          <w14:ligatures w14:val="none"/>
        </w:rPr>
        <w:t>Latvijas Transportlīdzekļu apdrošinātāju biroja</w:t>
      </w:r>
      <w:r w:rsidRPr="00420AF7">
        <w:rPr>
          <w:rFonts w:ascii="Arial" w:eastAsia="Times New Roman" w:hAnsi="Arial" w:cs="Arial"/>
          <w:color w:val="000000"/>
          <w:kern w:val="0"/>
          <w:bdr w:val="none" w:sz="0" w:space="0" w:color="auto" w:frame="1"/>
          <w:lang w:val="en-LV" w:eastAsia="en-GB"/>
          <w14:ligatures w14:val="none"/>
        </w:rPr>
        <w:t> tiesībām pieprasīt informāciju no Valsts sociālās apdrošināšanas aģentūras, kas palīdzētu izskaidrot projektā ietverto regulējumu. Ņemot vērā to, ka ir plānots veikt īpašu kategoriju personas datu apstrādi, kas varētu radīt augstu risku fizisku personu tiesībām un brīvībām, lūdzam anotācijā skaidrot: kāpēc datus par invaliditāti ir nepieciešams no Veselības un darbspēju ekspertīzes ārstu valsts komisijas saņemt un apstrādāt gan apdrošinātājam, gan </w:t>
      </w:r>
      <w:r w:rsidRPr="00420AF7">
        <w:rPr>
          <w:rFonts w:ascii="Arial" w:eastAsia="Times New Roman" w:hAnsi="Arial" w:cs="Arial"/>
          <w:color w:val="201F1E"/>
          <w:kern w:val="0"/>
          <w:bdr w:val="none" w:sz="0" w:space="0" w:color="auto" w:frame="1"/>
          <w:lang w:val="en-LV" w:eastAsia="en-GB"/>
          <w14:ligatures w14:val="none"/>
        </w:rPr>
        <w:t>Latvijas Transportlīdzekļu apdrošinātāju birojam</w:t>
      </w:r>
      <w:r w:rsidRPr="00420AF7">
        <w:rPr>
          <w:rFonts w:ascii="Arial" w:eastAsia="Times New Roman" w:hAnsi="Arial" w:cs="Arial"/>
          <w:color w:val="000000"/>
          <w:kern w:val="0"/>
          <w:bdr w:val="none" w:sz="0" w:space="0" w:color="auto" w:frame="1"/>
          <w:lang w:val="en-LV" w:eastAsia="en-GB"/>
          <w14:ligatures w14:val="none"/>
        </w:rPr>
        <w:t>; konkretizēt, kādiem apdrošinātājiem būs piekļuve datiem par invaliditāti; norādīt minēto datu glabāšanas termiņu un dzēšanas kārtību. </w:t>
      </w:r>
    </w:p>
    <w:p w14:paraId="6AEEB601"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Vienlaikus izsakām šādus priekšlikumus: </w:t>
      </w:r>
    </w:p>
    <w:p w14:paraId="62C93A39"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1. Lūdzam precizēt projekta ievaddaļu, norādot pēdējo grozījumu </w:t>
      </w:r>
      <w:r w:rsidRPr="00420AF7">
        <w:rPr>
          <w:rFonts w:ascii="Arial" w:eastAsia="Times New Roman" w:hAnsi="Arial" w:cs="Arial"/>
          <w:color w:val="000000"/>
          <w:kern w:val="0"/>
          <w:bdr w:val="none" w:sz="0" w:space="0" w:color="auto" w:frame="1"/>
          <w:shd w:val="clear" w:color="auto" w:fill="FFFFFF"/>
          <w:lang w:val="en-LV" w:eastAsia="en-GB"/>
          <w14:ligatures w14:val="none"/>
        </w:rPr>
        <w:t>likumā publikāciju oficiālajā izdevumā "Latvijas Vēstnesis".</w:t>
      </w:r>
      <w:r w:rsidRPr="00420AF7">
        <w:rPr>
          <w:rFonts w:ascii="Arial" w:eastAsia="Times New Roman" w:hAnsi="Arial" w:cs="Arial"/>
          <w:color w:val="000000"/>
          <w:kern w:val="0"/>
          <w:bdr w:val="none" w:sz="0" w:space="0" w:color="auto" w:frame="1"/>
          <w:lang w:val="en-LV" w:eastAsia="en-GB"/>
          <w14:ligatures w14:val="none"/>
        </w:rPr>
        <w:t> </w:t>
      </w:r>
    </w:p>
    <w:p w14:paraId="5CCB9245" w14:textId="77777777" w:rsidR="00420AF7" w:rsidRPr="00420AF7" w:rsidRDefault="00420AF7" w:rsidP="00420AF7">
      <w:pPr>
        <w:ind w:firstLine="720"/>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lastRenderedPageBreak/>
        <w:t>2. Vēršam uzmanību uz to, ka </w:t>
      </w:r>
      <w:r w:rsidRPr="00420AF7">
        <w:rPr>
          <w:rFonts w:ascii="Arial" w:eastAsia="Times New Roman" w:hAnsi="Arial" w:cs="Arial"/>
          <w:color w:val="000000"/>
          <w:kern w:val="0"/>
          <w:u w:val="single"/>
          <w:bdr w:val="none" w:sz="0" w:space="0" w:color="auto" w:frame="1"/>
          <w:lang w:val="en-LV" w:eastAsia="en-GB"/>
          <w14:ligatures w14:val="none"/>
        </w:rPr>
        <w:t>ar rakstveida dokumentu saprot gan dokumentu papīra formātā, kas ir pašrocīgi parakstīts, gan elektronisko dokumentu, kas ir parakstīts ar drošu elektronisko parakstu</w:t>
      </w:r>
      <w:r w:rsidRPr="00420AF7">
        <w:rPr>
          <w:rFonts w:ascii="Arial" w:eastAsia="Times New Roman" w:hAnsi="Arial" w:cs="Arial"/>
          <w:color w:val="000000"/>
          <w:kern w:val="0"/>
          <w:bdr w:val="none" w:sz="0" w:space="0" w:color="auto" w:frame="1"/>
          <w:lang w:val="en-LV" w:eastAsia="en-GB"/>
          <w14:ligatures w14:val="none"/>
        </w:rPr>
        <w:t>. Elektronisko dokumentu likuma 3. panta otrā daļa noteic, ka </w:t>
      </w:r>
      <w:r w:rsidRPr="00420AF7">
        <w:rPr>
          <w:rFonts w:ascii="Arial" w:eastAsia="Times New Roman" w:hAnsi="Arial" w:cs="Arial"/>
          <w:color w:val="000000"/>
          <w:kern w:val="0"/>
          <w:u w:val="single"/>
          <w:bdr w:val="none" w:sz="0" w:space="0" w:color="auto" w:frame="1"/>
          <w:lang w:val="en-LV" w:eastAsia="en-GB"/>
          <w14:ligatures w14:val="none"/>
        </w:rPr>
        <w:t>elektroniskais dokuments uzskatāms par pašrocīgi parakstītu, ja tam ir drošs elektroniskais paraksts. Elektronisko dokumentu uzskata par pašrocīgi parakstītu arī tajos gadījumos, kad tam ir elektroniskais paraksts un puses par elektroniskā dokumenta parakstīšanu ar elektronisko parakstu ir vienojušās rakstveidā</w:t>
      </w:r>
      <w:r w:rsidRPr="00420AF7">
        <w:rPr>
          <w:rFonts w:ascii="Arial" w:eastAsia="Times New Roman" w:hAnsi="Arial" w:cs="Arial"/>
          <w:color w:val="000000"/>
          <w:kern w:val="0"/>
          <w:bdr w:val="none" w:sz="0" w:space="0" w:color="auto" w:frame="1"/>
          <w:lang w:val="en-LV" w:eastAsia="en-GB"/>
          <w14:ligatures w14:val="none"/>
        </w:rPr>
        <w:t>. Ievērojot minēto, lūdzam aizstāt projekta 6. pantā paredzētajā likuma 51. panta 8.</w:t>
      </w:r>
      <w:r w:rsidRPr="00420AF7">
        <w:rPr>
          <w:rFonts w:ascii="Arial" w:eastAsia="Times New Roman" w:hAnsi="Arial" w:cs="Arial"/>
          <w:color w:val="000000"/>
          <w:kern w:val="0"/>
          <w:bdr w:val="none" w:sz="0" w:space="0" w:color="auto" w:frame="1"/>
          <w:vertAlign w:val="superscript"/>
          <w:lang w:val="en-LV" w:eastAsia="en-GB"/>
          <w14:ligatures w14:val="none"/>
        </w:rPr>
        <w:t>1</w:t>
      </w:r>
      <w:r w:rsidRPr="00420AF7">
        <w:rPr>
          <w:rFonts w:ascii="Arial" w:eastAsia="Times New Roman" w:hAnsi="Arial" w:cs="Arial"/>
          <w:color w:val="000000"/>
          <w:kern w:val="0"/>
          <w:bdr w:val="none" w:sz="0" w:space="0" w:color="auto" w:frame="1"/>
          <w:lang w:val="en-LV" w:eastAsia="en-GB"/>
          <w14:ligatures w14:val="none"/>
        </w:rPr>
        <w:t> daļā vārdu "rakstiski" ar vārdu "rakstveidā". </w:t>
      </w:r>
    </w:p>
    <w:p w14:paraId="08B73AAF" w14:textId="77777777" w:rsidR="00420AF7" w:rsidRPr="00420AF7" w:rsidRDefault="00420AF7" w:rsidP="00420AF7">
      <w:pPr>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bdr w:val="none" w:sz="0" w:space="0" w:color="auto" w:frame="1"/>
          <w:lang w:val="en-LV" w:eastAsia="en-GB"/>
          <w14:ligatures w14:val="none"/>
        </w:rPr>
        <w:t> </w:t>
      </w:r>
    </w:p>
    <w:p w14:paraId="78530857" w14:textId="77777777" w:rsidR="00420AF7" w:rsidRPr="00420AF7" w:rsidRDefault="00420AF7" w:rsidP="00420AF7">
      <w:pPr>
        <w:shd w:val="clear" w:color="auto" w:fill="FFFFFF"/>
        <w:jc w:val="both"/>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Ar cieņu</w:t>
      </w:r>
      <w:r w:rsidRPr="00420AF7">
        <w:rPr>
          <w:rFonts w:ascii="Arial" w:eastAsia="Times New Roman" w:hAnsi="Arial" w:cs="Arial"/>
          <w:color w:val="000000"/>
          <w:kern w:val="0"/>
          <w:sz w:val="22"/>
          <w:szCs w:val="22"/>
          <w:bdr w:val="none" w:sz="0" w:space="0" w:color="auto" w:frame="1"/>
          <w:lang w:val="en-LV" w:eastAsia="en-GB"/>
          <w14:ligatures w14:val="none"/>
        </w:rPr>
        <w:t> </w:t>
      </w:r>
    </w:p>
    <w:p w14:paraId="2473D75C"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Ilze Māliņa</w:t>
      </w:r>
      <w:r w:rsidRPr="00420AF7">
        <w:rPr>
          <w:rFonts w:ascii="Arial" w:eastAsia="Times New Roman" w:hAnsi="Arial" w:cs="Arial"/>
          <w:color w:val="000000"/>
          <w:kern w:val="0"/>
          <w:sz w:val="22"/>
          <w:szCs w:val="22"/>
          <w:bdr w:val="none" w:sz="0" w:space="0" w:color="auto" w:frame="1"/>
          <w:lang w:val="en-LV" w:eastAsia="en-GB"/>
          <w14:ligatures w14:val="none"/>
        </w:rPr>
        <w:t> </w:t>
      </w:r>
    </w:p>
    <w:p w14:paraId="0B19B1AD"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Tieslietu ministrijas</w:t>
      </w:r>
      <w:r w:rsidRPr="00420AF7">
        <w:rPr>
          <w:rFonts w:ascii="Arial" w:eastAsia="Times New Roman" w:hAnsi="Arial" w:cs="Arial"/>
          <w:color w:val="000000"/>
          <w:kern w:val="0"/>
          <w:sz w:val="22"/>
          <w:szCs w:val="22"/>
          <w:bdr w:val="none" w:sz="0" w:space="0" w:color="auto" w:frame="1"/>
          <w:lang w:val="en-LV" w:eastAsia="en-GB"/>
          <w14:ligatures w14:val="none"/>
        </w:rPr>
        <w:t> </w:t>
      </w:r>
    </w:p>
    <w:p w14:paraId="73C1F7BC"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Valststiesību departamenta</w:t>
      </w:r>
      <w:r w:rsidRPr="00420AF7">
        <w:rPr>
          <w:rFonts w:ascii="Arial" w:eastAsia="Times New Roman" w:hAnsi="Arial" w:cs="Arial"/>
          <w:color w:val="000000"/>
          <w:kern w:val="0"/>
          <w:sz w:val="22"/>
          <w:szCs w:val="22"/>
          <w:bdr w:val="none" w:sz="0" w:space="0" w:color="auto" w:frame="1"/>
          <w:lang w:val="en-LV" w:eastAsia="en-GB"/>
          <w14:ligatures w14:val="none"/>
        </w:rPr>
        <w:t> </w:t>
      </w:r>
    </w:p>
    <w:p w14:paraId="7349E8D8"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Administratīvo tiesību nodaļas juriste</w:t>
      </w:r>
      <w:r w:rsidRPr="00420AF7">
        <w:rPr>
          <w:rFonts w:ascii="Arial" w:eastAsia="Times New Roman" w:hAnsi="Arial" w:cs="Arial"/>
          <w:color w:val="000000"/>
          <w:kern w:val="0"/>
          <w:sz w:val="22"/>
          <w:szCs w:val="22"/>
          <w:bdr w:val="none" w:sz="0" w:space="0" w:color="auto" w:frame="1"/>
          <w:lang w:val="en-LV" w:eastAsia="en-GB"/>
          <w14:ligatures w14:val="none"/>
        </w:rPr>
        <w:t> </w:t>
      </w:r>
    </w:p>
    <w:p w14:paraId="7576A8EA"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tālr. 67036910</w:t>
      </w:r>
      <w:r w:rsidRPr="00420AF7">
        <w:rPr>
          <w:rFonts w:ascii="Arial" w:eastAsia="Times New Roman" w:hAnsi="Arial" w:cs="Arial"/>
          <w:color w:val="000000"/>
          <w:kern w:val="0"/>
          <w:sz w:val="22"/>
          <w:szCs w:val="22"/>
          <w:bdr w:val="none" w:sz="0" w:space="0" w:color="auto" w:frame="1"/>
          <w:lang w:val="en-LV" w:eastAsia="en-GB"/>
          <w14:ligatures w14:val="none"/>
        </w:rPr>
        <w:t> </w:t>
      </w:r>
    </w:p>
    <w:p w14:paraId="643B2259"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Juridiskā adrese: Brīvības bulvārī 36, Rīgā, LV-1536</w:t>
      </w:r>
      <w:r w:rsidRPr="00420AF7">
        <w:rPr>
          <w:rFonts w:ascii="Arial" w:eastAsia="Times New Roman" w:hAnsi="Arial" w:cs="Arial"/>
          <w:color w:val="000000"/>
          <w:kern w:val="0"/>
          <w:sz w:val="22"/>
          <w:szCs w:val="22"/>
          <w:bdr w:val="none" w:sz="0" w:space="0" w:color="auto" w:frame="1"/>
          <w:lang w:val="en-LV" w:eastAsia="en-GB"/>
          <w14:ligatures w14:val="none"/>
        </w:rPr>
        <w:t> </w:t>
      </w:r>
    </w:p>
    <w:p w14:paraId="4BA1AE96"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Atrašanās vieta: Raiņa bulvārī 15, Rīgā, LV-1050 </w:t>
      </w:r>
    </w:p>
    <w:p w14:paraId="14B38CCF"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201F1E"/>
          <w:kern w:val="0"/>
          <w:sz w:val="20"/>
          <w:szCs w:val="20"/>
          <w:bdr w:val="none" w:sz="0" w:space="0" w:color="auto" w:frame="1"/>
          <w:lang w:val="en-LV" w:eastAsia="en-GB"/>
          <w14:ligatures w14:val="none"/>
        </w:rPr>
        <w:t> </w:t>
      </w:r>
    </w:p>
    <w:p w14:paraId="472D8C48"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spacing w:val="4"/>
          <w:kern w:val="0"/>
          <w:sz w:val="20"/>
          <w:szCs w:val="20"/>
          <w:bdr w:val="none" w:sz="0" w:space="0" w:color="auto" w:frame="1"/>
          <w:lang w:val="en-LV" w:eastAsia="en-GB"/>
          <w14:ligatures w14:val="none"/>
        </w:rPr>
        <w:t>Ilze Štrassere</w:t>
      </w:r>
      <w:r w:rsidRPr="00420AF7">
        <w:rPr>
          <w:rFonts w:ascii="Arial" w:eastAsia="Times New Roman" w:hAnsi="Arial" w:cs="Arial"/>
          <w:color w:val="201F1E"/>
          <w:kern w:val="0"/>
          <w:sz w:val="20"/>
          <w:szCs w:val="20"/>
          <w:bdr w:val="none" w:sz="0" w:space="0" w:color="auto" w:frame="1"/>
          <w:lang w:val="en-LV" w:eastAsia="en-GB"/>
          <w14:ligatures w14:val="none"/>
        </w:rPr>
        <w:t> </w:t>
      </w:r>
    </w:p>
    <w:p w14:paraId="396B9101"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Tieslietu ministrijas </w:t>
      </w:r>
    </w:p>
    <w:p w14:paraId="6EA6ADF3"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Nozaru politikas departamenta </w:t>
      </w:r>
    </w:p>
    <w:p w14:paraId="0B6C3446"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Politikas izstrādes un reliģijas lietu nodaļas juriste </w:t>
      </w:r>
    </w:p>
    <w:p w14:paraId="511E119C"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tālr. 67036739 </w:t>
      </w:r>
    </w:p>
    <w:p w14:paraId="09965FA6" w14:textId="77777777" w:rsidR="00420AF7" w:rsidRPr="00420AF7" w:rsidRDefault="00420AF7" w:rsidP="00420AF7">
      <w:pPr>
        <w:shd w:val="clear" w:color="auto" w:fill="FFFFFF"/>
        <w:textAlignment w:val="baseline"/>
        <w:rPr>
          <w:rFonts w:ascii="Arial" w:eastAsia="Times New Roman" w:hAnsi="Arial" w:cs="Arial"/>
          <w:color w:val="000000"/>
          <w:kern w:val="0"/>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Juridiskā adrese: Brīvības bulvārī 36, Rīgā, LV-1536 </w:t>
      </w:r>
    </w:p>
    <w:p w14:paraId="68E00BD7" w14:textId="77777777" w:rsidR="00420AF7" w:rsidRPr="00420AF7" w:rsidRDefault="00420AF7" w:rsidP="00420AF7">
      <w:pPr>
        <w:jc w:val="both"/>
        <w:textAlignment w:val="baseline"/>
        <w:rPr>
          <w:rFonts w:ascii="Arial" w:eastAsia="Times New Roman" w:hAnsi="Arial" w:cs="Arial"/>
          <w:color w:val="000000"/>
          <w:kern w:val="0"/>
          <w:sz w:val="22"/>
          <w:szCs w:val="22"/>
          <w:lang w:val="en-LV" w:eastAsia="en-GB"/>
          <w14:ligatures w14:val="none"/>
        </w:rPr>
      </w:pPr>
      <w:r w:rsidRPr="00420AF7">
        <w:rPr>
          <w:rFonts w:ascii="Arial" w:eastAsia="Times New Roman" w:hAnsi="Arial" w:cs="Arial"/>
          <w:color w:val="000000"/>
          <w:kern w:val="0"/>
          <w:sz w:val="20"/>
          <w:szCs w:val="20"/>
          <w:bdr w:val="none" w:sz="0" w:space="0" w:color="auto" w:frame="1"/>
          <w:lang w:val="en-LV" w:eastAsia="en-GB"/>
          <w14:ligatures w14:val="none"/>
        </w:rPr>
        <w:t>Atrašanās vieta: Raiņa bulvārī 15, Rīgā, LV-1050 </w:t>
      </w:r>
    </w:p>
    <w:p w14:paraId="76331B35" w14:textId="2F89158F" w:rsidR="00420AF7" w:rsidRPr="00561710" w:rsidRDefault="00420AF7" w:rsidP="00420AF7">
      <w:pPr>
        <w:textAlignment w:val="baseline"/>
        <w:rPr>
          <w:rFonts w:ascii="Arial" w:eastAsia="Times New Roman" w:hAnsi="Arial" w:cs="Arial"/>
          <w:color w:val="000000"/>
          <w:kern w:val="0"/>
          <w:lang w:val="en-LV" w:eastAsia="en-GB"/>
          <w14:ligatures w14:val="none"/>
        </w:rPr>
      </w:pPr>
    </w:p>
    <w:p w14:paraId="5FA525F0" w14:textId="77777777" w:rsidR="001008E9" w:rsidRPr="00561710" w:rsidRDefault="00000000">
      <w:pPr>
        <w:rPr>
          <w:rFonts w:ascii="Arial" w:hAnsi="Arial" w:cs="Arial"/>
          <w:lang w:val="en-US"/>
        </w:rPr>
      </w:pPr>
    </w:p>
    <w:sectPr w:rsidR="001008E9" w:rsidRPr="00561710"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AF7"/>
    <w:rsid w:val="00177D7C"/>
    <w:rsid w:val="003922C6"/>
    <w:rsid w:val="003D48B8"/>
    <w:rsid w:val="00420AF7"/>
    <w:rsid w:val="00561710"/>
    <w:rsid w:val="00821BED"/>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ADC77"/>
  <w15:chartTrackingRefBased/>
  <w15:docId w15:val="{FF4DCCC9-6EDE-5148-BD79-CB1CEB80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420AF7"/>
    <w:rPr>
      <w:color w:val="0000FF"/>
      <w:u w:val="single"/>
    </w:rPr>
  </w:style>
  <w:style w:type="paragraph" w:customStyle="1" w:styleId="xmsonospacing">
    <w:name w:val="x_msonospacing"/>
    <w:basedOn w:val="Normal"/>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msonormal">
    <w:name w:val="x_msonormal"/>
    <w:basedOn w:val="Normal"/>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msonormal">
    <w:name w:val="x_xxmsonormal"/>
    <w:basedOn w:val="Normal"/>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msonormal">
    <w:name w:val="x_x_msonormal"/>
    <w:basedOn w:val="Normal"/>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styleId="NormalWeb">
    <w:name w:val="Normal (Web)"/>
    <w:basedOn w:val="Normal"/>
    <w:uiPriority w:val="99"/>
    <w:semiHidden/>
    <w:unhideWhenUsed/>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msonormal0">
    <w:name w:val="x_x_x_msonormal"/>
    <w:basedOn w:val="Normal"/>
    <w:rsid w:val="00420AF7"/>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customStyle="1" w:styleId="xxxspelle">
    <w:name w:val="x_x_x_spelle"/>
    <w:basedOn w:val="DefaultParagraphFont"/>
    <w:rsid w:val="00420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195630">
      <w:bodyDiv w:val="1"/>
      <w:marLeft w:val="0"/>
      <w:marRight w:val="0"/>
      <w:marTop w:val="0"/>
      <w:marBottom w:val="0"/>
      <w:divBdr>
        <w:top w:val="none" w:sz="0" w:space="0" w:color="auto"/>
        <w:left w:val="none" w:sz="0" w:space="0" w:color="auto"/>
        <w:bottom w:val="none" w:sz="0" w:space="0" w:color="auto"/>
        <w:right w:val="none" w:sz="0" w:space="0" w:color="auto"/>
      </w:divBdr>
      <w:divsChild>
        <w:div w:id="842161157">
          <w:marLeft w:val="0"/>
          <w:marRight w:val="0"/>
          <w:marTop w:val="0"/>
          <w:marBottom w:val="0"/>
          <w:divBdr>
            <w:top w:val="none" w:sz="0" w:space="0" w:color="auto"/>
            <w:left w:val="none" w:sz="0" w:space="0" w:color="auto"/>
            <w:bottom w:val="none" w:sz="0" w:space="0" w:color="auto"/>
            <w:right w:val="none" w:sz="0" w:space="0" w:color="auto"/>
          </w:divBdr>
          <w:divsChild>
            <w:div w:id="855384974">
              <w:marLeft w:val="0"/>
              <w:marRight w:val="0"/>
              <w:marTop w:val="0"/>
              <w:marBottom w:val="0"/>
              <w:divBdr>
                <w:top w:val="none" w:sz="0" w:space="0" w:color="auto"/>
                <w:left w:val="none" w:sz="0" w:space="0" w:color="auto"/>
                <w:bottom w:val="none" w:sz="0" w:space="0" w:color="auto"/>
                <w:right w:val="none" w:sz="0" w:space="0" w:color="auto"/>
              </w:divBdr>
            </w:div>
            <w:div w:id="1288465443">
              <w:marLeft w:val="0"/>
              <w:marRight w:val="0"/>
              <w:marTop w:val="0"/>
              <w:marBottom w:val="0"/>
              <w:divBdr>
                <w:top w:val="none" w:sz="0" w:space="0" w:color="auto"/>
                <w:left w:val="none" w:sz="0" w:space="0" w:color="auto"/>
                <w:bottom w:val="none" w:sz="0" w:space="0" w:color="auto"/>
                <w:right w:val="none" w:sz="0" w:space="0" w:color="auto"/>
              </w:divBdr>
              <w:divsChild>
                <w:div w:id="4105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2469">
          <w:marLeft w:val="0"/>
          <w:marRight w:val="0"/>
          <w:marTop w:val="0"/>
          <w:marBottom w:val="0"/>
          <w:divBdr>
            <w:top w:val="none" w:sz="0" w:space="0" w:color="auto"/>
            <w:left w:val="none" w:sz="0" w:space="0" w:color="auto"/>
            <w:bottom w:val="none" w:sz="0" w:space="0" w:color="auto"/>
            <w:right w:val="none" w:sz="0" w:space="0" w:color="auto"/>
          </w:divBdr>
        </w:div>
        <w:div w:id="1615281126">
          <w:marLeft w:val="0"/>
          <w:marRight w:val="0"/>
          <w:marTop w:val="0"/>
          <w:marBottom w:val="0"/>
          <w:divBdr>
            <w:top w:val="none" w:sz="0" w:space="0" w:color="auto"/>
            <w:left w:val="none" w:sz="0" w:space="0" w:color="auto"/>
            <w:bottom w:val="none" w:sz="0" w:space="0" w:color="auto"/>
            <w:right w:val="none" w:sz="0" w:space="0" w:color="auto"/>
          </w:divBdr>
          <w:divsChild>
            <w:div w:id="1894534959">
              <w:marLeft w:val="0"/>
              <w:marRight w:val="0"/>
              <w:marTop w:val="0"/>
              <w:marBottom w:val="0"/>
              <w:divBdr>
                <w:top w:val="none" w:sz="0" w:space="0" w:color="auto"/>
                <w:left w:val="none" w:sz="0" w:space="0" w:color="auto"/>
                <w:bottom w:val="none" w:sz="0" w:space="0" w:color="auto"/>
                <w:right w:val="none" w:sz="0" w:space="0" w:color="auto"/>
              </w:divBdr>
            </w:div>
          </w:divsChild>
        </w:div>
        <w:div w:id="1549799131">
          <w:marLeft w:val="0"/>
          <w:marRight w:val="0"/>
          <w:marTop w:val="0"/>
          <w:marBottom w:val="0"/>
          <w:divBdr>
            <w:top w:val="none" w:sz="0" w:space="0" w:color="auto"/>
            <w:left w:val="none" w:sz="0" w:space="0" w:color="auto"/>
            <w:bottom w:val="none" w:sz="0" w:space="0" w:color="auto"/>
            <w:right w:val="none" w:sz="0" w:space="0" w:color="auto"/>
          </w:divBdr>
          <w:divsChild>
            <w:div w:id="1857888863">
              <w:marLeft w:val="0"/>
              <w:marRight w:val="0"/>
              <w:marTop w:val="0"/>
              <w:marBottom w:val="0"/>
              <w:divBdr>
                <w:top w:val="none" w:sz="0" w:space="0" w:color="auto"/>
                <w:left w:val="none" w:sz="0" w:space="0" w:color="auto"/>
                <w:bottom w:val="none" w:sz="0" w:space="0" w:color="auto"/>
                <w:right w:val="none" w:sz="0" w:space="0" w:color="auto"/>
              </w:divBdr>
            </w:div>
            <w:div w:id="875893037">
              <w:marLeft w:val="0"/>
              <w:marRight w:val="0"/>
              <w:marTop w:val="0"/>
              <w:marBottom w:val="0"/>
              <w:divBdr>
                <w:top w:val="none" w:sz="0" w:space="0" w:color="auto"/>
                <w:left w:val="none" w:sz="0" w:space="0" w:color="auto"/>
                <w:bottom w:val="none" w:sz="0" w:space="0" w:color="auto"/>
                <w:right w:val="none" w:sz="0" w:space="0" w:color="auto"/>
              </w:divBdr>
              <w:divsChild>
                <w:div w:id="574820867">
                  <w:marLeft w:val="0"/>
                  <w:marRight w:val="0"/>
                  <w:marTop w:val="0"/>
                  <w:marBottom w:val="0"/>
                  <w:divBdr>
                    <w:top w:val="none" w:sz="0" w:space="0" w:color="auto"/>
                    <w:left w:val="none" w:sz="0" w:space="0" w:color="auto"/>
                    <w:bottom w:val="none" w:sz="0" w:space="0" w:color="auto"/>
                    <w:right w:val="none" w:sz="0" w:space="0" w:color="auto"/>
                  </w:divBdr>
                </w:div>
                <w:div w:id="1129779982">
                  <w:marLeft w:val="0"/>
                  <w:marRight w:val="0"/>
                  <w:marTop w:val="0"/>
                  <w:marBottom w:val="0"/>
                  <w:divBdr>
                    <w:top w:val="none" w:sz="0" w:space="0" w:color="auto"/>
                    <w:left w:val="none" w:sz="0" w:space="0" w:color="auto"/>
                    <w:bottom w:val="none" w:sz="0" w:space="0" w:color="auto"/>
                    <w:right w:val="none" w:sz="0" w:space="0" w:color="auto"/>
                  </w:divBdr>
                  <w:divsChild>
                    <w:div w:id="82455276">
                      <w:marLeft w:val="0"/>
                      <w:marRight w:val="0"/>
                      <w:marTop w:val="0"/>
                      <w:marBottom w:val="0"/>
                      <w:divBdr>
                        <w:top w:val="none" w:sz="0" w:space="0" w:color="auto"/>
                        <w:left w:val="none" w:sz="0" w:space="0" w:color="auto"/>
                        <w:bottom w:val="none" w:sz="0" w:space="0" w:color="auto"/>
                        <w:right w:val="none" w:sz="0" w:space="0" w:color="auto"/>
                      </w:divBdr>
                    </w:div>
                  </w:divsChild>
                </w:div>
                <w:div w:id="1846508017">
                  <w:marLeft w:val="0"/>
                  <w:marRight w:val="0"/>
                  <w:marTop w:val="0"/>
                  <w:marBottom w:val="0"/>
                  <w:divBdr>
                    <w:top w:val="none" w:sz="0" w:space="0" w:color="auto"/>
                    <w:left w:val="none" w:sz="0" w:space="0" w:color="auto"/>
                    <w:bottom w:val="none" w:sz="0" w:space="0" w:color="auto"/>
                    <w:right w:val="none" w:sz="0" w:space="0" w:color="auto"/>
                  </w:divBdr>
                  <w:divsChild>
                    <w:div w:id="539170942">
                      <w:marLeft w:val="0"/>
                      <w:marRight w:val="0"/>
                      <w:marTop w:val="0"/>
                      <w:marBottom w:val="0"/>
                      <w:divBdr>
                        <w:top w:val="none" w:sz="0" w:space="0" w:color="auto"/>
                        <w:left w:val="none" w:sz="0" w:space="0" w:color="auto"/>
                        <w:bottom w:val="none" w:sz="0" w:space="0" w:color="auto"/>
                        <w:right w:val="none" w:sz="0" w:space="0" w:color="auto"/>
                      </w:divBdr>
                    </w:div>
                    <w:div w:id="2069303333">
                      <w:marLeft w:val="0"/>
                      <w:marRight w:val="0"/>
                      <w:marTop w:val="0"/>
                      <w:marBottom w:val="0"/>
                      <w:divBdr>
                        <w:top w:val="none" w:sz="0" w:space="0" w:color="auto"/>
                        <w:left w:val="none" w:sz="0" w:space="0" w:color="auto"/>
                        <w:bottom w:val="none" w:sz="0" w:space="0" w:color="auto"/>
                        <w:right w:val="none" w:sz="0" w:space="0" w:color="auto"/>
                      </w:divBdr>
                      <w:divsChild>
                        <w:div w:id="1724527421">
                          <w:marLeft w:val="0"/>
                          <w:marRight w:val="0"/>
                          <w:marTop w:val="0"/>
                          <w:marBottom w:val="0"/>
                          <w:divBdr>
                            <w:top w:val="none" w:sz="0" w:space="0" w:color="auto"/>
                            <w:left w:val="none" w:sz="0" w:space="0" w:color="auto"/>
                            <w:bottom w:val="none" w:sz="0" w:space="0" w:color="auto"/>
                            <w:right w:val="none" w:sz="0" w:space="0" w:color="auto"/>
                          </w:divBdr>
                          <w:divsChild>
                            <w:div w:id="1977101029">
                              <w:marLeft w:val="0"/>
                              <w:marRight w:val="0"/>
                              <w:marTop w:val="0"/>
                              <w:marBottom w:val="0"/>
                              <w:divBdr>
                                <w:top w:val="none" w:sz="0" w:space="0" w:color="auto"/>
                                <w:left w:val="none" w:sz="0" w:space="0" w:color="auto"/>
                                <w:bottom w:val="none" w:sz="0" w:space="0" w:color="auto"/>
                                <w:right w:val="none" w:sz="0" w:space="0" w:color="auto"/>
                              </w:divBdr>
                            </w:div>
                            <w:div w:id="789739417">
                              <w:marLeft w:val="0"/>
                              <w:marRight w:val="0"/>
                              <w:marTop w:val="0"/>
                              <w:marBottom w:val="0"/>
                              <w:divBdr>
                                <w:top w:val="none" w:sz="0" w:space="0" w:color="auto"/>
                                <w:left w:val="none" w:sz="0" w:space="0" w:color="auto"/>
                                <w:bottom w:val="none" w:sz="0" w:space="0" w:color="auto"/>
                                <w:right w:val="none" w:sz="0" w:space="0" w:color="auto"/>
                              </w:divBdr>
                            </w:div>
                          </w:divsChild>
                        </w:div>
                        <w:div w:id="672730680">
                          <w:marLeft w:val="0"/>
                          <w:marRight w:val="0"/>
                          <w:marTop w:val="0"/>
                          <w:marBottom w:val="0"/>
                          <w:divBdr>
                            <w:top w:val="none" w:sz="0" w:space="0" w:color="auto"/>
                            <w:left w:val="none" w:sz="0" w:space="0" w:color="auto"/>
                            <w:bottom w:val="none" w:sz="0" w:space="0" w:color="auto"/>
                            <w:right w:val="none" w:sz="0" w:space="0" w:color="auto"/>
                          </w:divBdr>
                          <w:divsChild>
                            <w:div w:id="894587785">
                              <w:marLeft w:val="0"/>
                              <w:marRight w:val="0"/>
                              <w:marTop w:val="0"/>
                              <w:marBottom w:val="0"/>
                              <w:divBdr>
                                <w:top w:val="none" w:sz="0" w:space="0" w:color="auto"/>
                                <w:left w:val="none" w:sz="0" w:space="0" w:color="auto"/>
                                <w:bottom w:val="none" w:sz="0" w:space="0" w:color="auto"/>
                                <w:right w:val="none" w:sz="0" w:space="0" w:color="auto"/>
                              </w:divBdr>
                            </w:div>
                            <w:div w:id="1164903120">
                              <w:marLeft w:val="0"/>
                              <w:marRight w:val="0"/>
                              <w:marTop w:val="0"/>
                              <w:marBottom w:val="0"/>
                              <w:divBdr>
                                <w:top w:val="none" w:sz="0" w:space="0" w:color="auto"/>
                                <w:left w:val="none" w:sz="0" w:space="0" w:color="auto"/>
                                <w:bottom w:val="none" w:sz="0" w:space="0" w:color="auto"/>
                                <w:right w:val="none" w:sz="0" w:space="0" w:color="auto"/>
                              </w:divBdr>
                            </w:div>
                            <w:div w:id="1785415306">
                              <w:marLeft w:val="0"/>
                              <w:marRight w:val="0"/>
                              <w:marTop w:val="0"/>
                              <w:marBottom w:val="0"/>
                              <w:divBdr>
                                <w:top w:val="none" w:sz="0" w:space="0" w:color="auto"/>
                                <w:left w:val="none" w:sz="0" w:space="0" w:color="auto"/>
                                <w:bottom w:val="none" w:sz="0" w:space="0" w:color="auto"/>
                                <w:right w:val="none" w:sz="0" w:space="0" w:color="auto"/>
                              </w:divBdr>
                            </w:div>
                            <w:div w:id="355235500">
                              <w:marLeft w:val="0"/>
                              <w:marRight w:val="0"/>
                              <w:marTop w:val="0"/>
                              <w:marBottom w:val="0"/>
                              <w:divBdr>
                                <w:top w:val="none" w:sz="0" w:space="0" w:color="auto"/>
                                <w:left w:val="none" w:sz="0" w:space="0" w:color="auto"/>
                                <w:bottom w:val="none" w:sz="0" w:space="0" w:color="auto"/>
                                <w:right w:val="none" w:sz="0" w:space="0" w:color="auto"/>
                              </w:divBdr>
                              <w:divsChild>
                                <w:div w:id="845899053">
                                  <w:marLeft w:val="0"/>
                                  <w:marRight w:val="0"/>
                                  <w:marTop w:val="0"/>
                                  <w:marBottom w:val="0"/>
                                  <w:divBdr>
                                    <w:top w:val="none" w:sz="0" w:space="0" w:color="auto"/>
                                    <w:left w:val="none" w:sz="0" w:space="0" w:color="auto"/>
                                    <w:bottom w:val="none" w:sz="0" w:space="0" w:color="auto"/>
                                    <w:right w:val="none" w:sz="0" w:space="0" w:color="auto"/>
                                  </w:divBdr>
                                </w:div>
                              </w:divsChild>
                            </w:div>
                            <w:div w:id="1299922516">
                              <w:marLeft w:val="0"/>
                              <w:marRight w:val="0"/>
                              <w:marTop w:val="0"/>
                              <w:marBottom w:val="0"/>
                              <w:divBdr>
                                <w:top w:val="none" w:sz="0" w:space="0" w:color="auto"/>
                                <w:left w:val="none" w:sz="0" w:space="0" w:color="auto"/>
                                <w:bottom w:val="none" w:sz="0" w:space="0" w:color="auto"/>
                                <w:right w:val="none" w:sz="0" w:space="0" w:color="auto"/>
                              </w:divBdr>
                              <w:divsChild>
                                <w:div w:id="1431242024">
                                  <w:marLeft w:val="0"/>
                                  <w:marRight w:val="0"/>
                                  <w:marTop w:val="0"/>
                                  <w:marBottom w:val="0"/>
                                  <w:divBdr>
                                    <w:top w:val="none" w:sz="0" w:space="0" w:color="auto"/>
                                    <w:left w:val="none" w:sz="0" w:space="0" w:color="auto"/>
                                    <w:bottom w:val="none" w:sz="0" w:space="0" w:color="auto"/>
                                    <w:right w:val="none" w:sz="0" w:space="0" w:color="auto"/>
                                  </w:divBdr>
                                  <w:divsChild>
                                    <w:div w:id="1393767968">
                                      <w:marLeft w:val="0"/>
                                      <w:marRight w:val="0"/>
                                      <w:marTop w:val="0"/>
                                      <w:marBottom w:val="0"/>
                                      <w:divBdr>
                                        <w:top w:val="none" w:sz="0" w:space="0" w:color="auto"/>
                                        <w:left w:val="none" w:sz="0" w:space="0" w:color="auto"/>
                                        <w:bottom w:val="none" w:sz="0" w:space="0" w:color="auto"/>
                                        <w:right w:val="none" w:sz="0" w:space="0" w:color="auto"/>
                                      </w:divBdr>
                                    </w:div>
                                    <w:div w:id="187970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1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1847</Words>
  <Characters>10528</Characters>
  <Application>Microsoft Office Word</Application>
  <DocSecurity>0</DocSecurity>
  <Lines>87</Lines>
  <Paragraphs>24</Paragraphs>
  <ScaleCrop>false</ScaleCrop>
  <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2</cp:revision>
  <dcterms:created xsi:type="dcterms:W3CDTF">2023-01-11T17:41:00Z</dcterms:created>
  <dcterms:modified xsi:type="dcterms:W3CDTF">2023-01-11T17:45:00Z</dcterms:modified>
</cp:coreProperties>
</file>