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7DDCC" w14:textId="4C9EDA25" w:rsidR="00470F6D" w:rsidRDefault="00470F6D" w:rsidP="00470F6D">
      <w:pPr>
        <w:spacing w:before="240" w:after="240"/>
        <w:rPr>
          <w:b/>
          <w:sz w:val="28"/>
        </w:rPr>
      </w:pPr>
      <w:r>
        <w:rPr>
          <w:b/>
          <w:sz w:val="28"/>
        </w:rPr>
        <w:t>26-TA-7</w:t>
      </w:r>
      <w:r w:rsidR="00267DC9">
        <w:rPr>
          <w:b/>
          <w:sz w:val="28"/>
        </w:rPr>
        <w:t>36</w:t>
      </w:r>
      <w:r>
        <w:rPr>
          <w:b/>
          <w:sz w:val="28"/>
        </w:rPr>
        <w:t>: Likumprojekts (Grozījumi)</w:t>
      </w:r>
    </w:p>
    <w:p w14:paraId="24B4BB18" w14:textId="0F247F5E" w:rsidR="00470F6D" w:rsidRDefault="00470F6D" w:rsidP="00470F6D">
      <w:pPr>
        <w:pStyle w:val="titleparagraph"/>
        <w:contextualSpacing w:val="0"/>
      </w:pPr>
      <w:r>
        <w:t>Grozījumi</w:t>
      </w:r>
      <w:r w:rsidR="00267DC9" w:rsidRPr="00267DC9">
        <w:t xml:space="preserve"> Negodīgas komercprakses aizlieguma</w:t>
      </w:r>
      <w:r w:rsidR="00267DC9">
        <w:t xml:space="preserve"> </w:t>
      </w:r>
      <w:r>
        <w:t>likumā</w:t>
      </w:r>
    </w:p>
    <w:p w14:paraId="0DE7E459" w14:textId="1C647133" w:rsidR="00293D94" w:rsidRPr="00293D94" w:rsidRDefault="00293D94" w:rsidP="00293D94">
      <w:r>
        <w:t>Iebildumi, kas iesniegti Finanšu ministrijai ārpus TAP</w:t>
      </w:r>
    </w:p>
    <w:tbl>
      <w:tblPr>
        <w:tblW w:w="14857" w:type="dxa"/>
        <w:tblInd w:w="-29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10"/>
        <w:gridCol w:w="1842"/>
        <w:gridCol w:w="4536"/>
        <w:gridCol w:w="4820"/>
        <w:gridCol w:w="2949"/>
      </w:tblGrid>
      <w:tr w:rsidR="00470F6D" w14:paraId="2762B0A5" w14:textId="77777777" w:rsidTr="00360B15">
        <w:tc>
          <w:tcPr>
            <w:tcW w:w="710" w:type="dxa"/>
            <w:shd w:val="clear" w:color="auto" w:fill="FFFFFF"/>
            <w:noWrap/>
            <w:tcMar>
              <w:top w:w="75" w:type="dxa"/>
              <w:left w:w="75" w:type="dxa"/>
              <w:bottom w:w="75" w:type="dxa"/>
              <w:right w:w="75" w:type="dxa"/>
            </w:tcMar>
            <w:vAlign w:val="center"/>
          </w:tcPr>
          <w:p w14:paraId="447A5558" w14:textId="77777777" w:rsidR="00470F6D" w:rsidRDefault="00470F6D" w:rsidP="00360B15">
            <w:pPr>
              <w:jc w:val="center"/>
              <w:rPr>
                <w:b/>
              </w:rPr>
            </w:pPr>
            <w:r>
              <w:rPr>
                <w:b/>
              </w:rPr>
              <w:t>Nr.p.k.</w:t>
            </w:r>
          </w:p>
        </w:tc>
        <w:tc>
          <w:tcPr>
            <w:tcW w:w="1842" w:type="dxa"/>
            <w:shd w:val="clear" w:color="auto" w:fill="FFFFFF"/>
            <w:noWrap/>
            <w:tcMar>
              <w:top w:w="75" w:type="dxa"/>
              <w:left w:w="75" w:type="dxa"/>
              <w:bottom w:w="75" w:type="dxa"/>
              <w:right w:w="75" w:type="dxa"/>
            </w:tcMar>
            <w:vAlign w:val="center"/>
          </w:tcPr>
          <w:p w14:paraId="2428F1B4" w14:textId="77777777" w:rsidR="00470F6D" w:rsidRDefault="00470F6D" w:rsidP="00360B15">
            <w:pPr>
              <w:jc w:val="center"/>
              <w:rPr>
                <w:b/>
              </w:rPr>
            </w:pPr>
            <w:r>
              <w:rPr>
                <w:b/>
              </w:rPr>
              <w:t>Saskaņošanai nosūtītā projekta redakcija</w:t>
            </w:r>
          </w:p>
        </w:tc>
        <w:tc>
          <w:tcPr>
            <w:tcW w:w="4536" w:type="dxa"/>
            <w:shd w:val="clear" w:color="auto" w:fill="FFFFFF"/>
            <w:noWrap/>
            <w:tcMar>
              <w:top w:w="75" w:type="dxa"/>
              <w:left w:w="75" w:type="dxa"/>
              <w:bottom w:w="75" w:type="dxa"/>
              <w:right w:w="75" w:type="dxa"/>
            </w:tcMar>
            <w:vAlign w:val="center"/>
          </w:tcPr>
          <w:p w14:paraId="64175D37" w14:textId="77777777" w:rsidR="00470F6D" w:rsidRDefault="00470F6D" w:rsidP="00360B15">
            <w:pPr>
              <w:jc w:val="center"/>
              <w:rPr>
                <w:b/>
              </w:rPr>
            </w:pPr>
            <w:r>
              <w:rPr>
                <w:b/>
              </w:rPr>
              <w:t>Iebildums / Priekšlikums</w:t>
            </w:r>
          </w:p>
          <w:p w14:paraId="51CD4CF9" w14:textId="0C6225D5" w:rsidR="00762B06" w:rsidRDefault="00762B06" w:rsidP="00360B15">
            <w:pPr>
              <w:jc w:val="center"/>
              <w:rPr>
                <w:b/>
              </w:rPr>
            </w:pPr>
          </w:p>
        </w:tc>
        <w:tc>
          <w:tcPr>
            <w:tcW w:w="4820" w:type="dxa"/>
            <w:shd w:val="clear" w:color="auto" w:fill="FFFFFF"/>
            <w:noWrap/>
            <w:tcMar>
              <w:top w:w="75" w:type="dxa"/>
              <w:left w:w="75" w:type="dxa"/>
              <w:bottom w:w="75" w:type="dxa"/>
              <w:right w:w="75" w:type="dxa"/>
            </w:tcMar>
            <w:vAlign w:val="center"/>
          </w:tcPr>
          <w:p w14:paraId="4C0ECA57" w14:textId="77777777" w:rsidR="00470F6D" w:rsidRDefault="00470F6D" w:rsidP="00360B15">
            <w:pPr>
              <w:jc w:val="center"/>
              <w:rPr>
                <w:b/>
              </w:rPr>
            </w:pPr>
            <w:r>
              <w:rPr>
                <w:b/>
              </w:rPr>
              <w:t>Apstrādes informācija</w:t>
            </w:r>
          </w:p>
        </w:tc>
        <w:tc>
          <w:tcPr>
            <w:tcW w:w="2949" w:type="dxa"/>
            <w:shd w:val="clear" w:color="auto" w:fill="FFFFFF"/>
            <w:noWrap/>
            <w:tcMar>
              <w:top w:w="75" w:type="dxa"/>
              <w:left w:w="75" w:type="dxa"/>
              <w:bottom w:w="75" w:type="dxa"/>
              <w:right w:w="75" w:type="dxa"/>
            </w:tcMar>
            <w:vAlign w:val="center"/>
          </w:tcPr>
          <w:p w14:paraId="6E755C4C" w14:textId="77777777" w:rsidR="00470F6D" w:rsidRDefault="00470F6D" w:rsidP="00360B15">
            <w:pPr>
              <w:jc w:val="center"/>
              <w:rPr>
                <w:b/>
              </w:rPr>
            </w:pPr>
            <w:r>
              <w:rPr>
                <w:b/>
              </w:rPr>
              <w:t>Galīgā redakcija</w:t>
            </w:r>
          </w:p>
        </w:tc>
      </w:tr>
      <w:tr w:rsidR="00470F6D" w14:paraId="1F9D148B" w14:textId="77777777" w:rsidTr="00360B15">
        <w:tc>
          <w:tcPr>
            <w:tcW w:w="14857" w:type="dxa"/>
            <w:gridSpan w:val="5"/>
            <w:shd w:val="clear" w:color="auto" w:fill="FFFFFF"/>
            <w:noWrap/>
            <w:tcMar>
              <w:top w:w="75" w:type="dxa"/>
              <w:left w:w="75" w:type="dxa"/>
              <w:bottom w:w="75" w:type="dxa"/>
              <w:right w:w="75" w:type="dxa"/>
            </w:tcMar>
            <w:vAlign w:val="center"/>
          </w:tcPr>
          <w:p w14:paraId="101F661D" w14:textId="77777777" w:rsidR="00470F6D" w:rsidRDefault="00470F6D" w:rsidP="00360B15">
            <w:r>
              <w:rPr>
                <w:b/>
              </w:rPr>
              <w:t>Izsludināšana: 02.04.2026. 14:30</w:t>
            </w:r>
          </w:p>
        </w:tc>
      </w:tr>
      <w:tr w:rsidR="00470F6D" w14:paraId="4CABF7B8" w14:textId="77777777" w:rsidTr="00360B15">
        <w:tc>
          <w:tcPr>
            <w:tcW w:w="710" w:type="dxa"/>
            <w:shd w:val="clear" w:color="auto" w:fill="FFFFFF"/>
            <w:noWrap/>
            <w:tcMar>
              <w:top w:w="75" w:type="dxa"/>
              <w:left w:w="75" w:type="dxa"/>
              <w:bottom w:w="75" w:type="dxa"/>
              <w:right w:w="75" w:type="dxa"/>
            </w:tcMar>
          </w:tcPr>
          <w:p w14:paraId="6829E033" w14:textId="77777777" w:rsidR="00470F6D" w:rsidRDefault="00470F6D" w:rsidP="00360B15">
            <w:r>
              <w:t>1.</w:t>
            </w:r>
          </w:p>
        </w:tc>
        <w:tc>
          <w:tcPr>
            <w:tcW w:w="1842" w:type="dxa"/>
            <w:shd w:val="clear" w:color="auto" w:fill="FFFFFF"/>
            <w:noWrap/>
            <w:tcMar>
              <w:top w:w="75" w:type="dxa"/>
              <w:left w:w="75" w:type="dxa"/>
              <w:bottom w:w="75" w:type="dxa"/>
              <w:right w:w="75" w:type="dxa"/>
            </w:tcMar>
          </w:tcPr>
          <w:p w14:paraId="298AFE36" w14:textId="77777777" w:rsidR="00470F6D" w:rsidRDefault="00470F6D" w:rsidP="00360B15">
            <w:pPr>
              <w:spacing w:after="240"/>
              <w:rPr>
                <w:b/>
              </w:rPr>
            </w:pPr>
            <w:r>
              <w:rPr>
                <w:b/>
              </w:rPr>
              <w:t>Likumprojekts (grozījumi)</w:t>
            </w:r>
          </w:p>
          <w:p w14:paraId="544736DB" w14:textId="2FB3A25D" w:rsidR="00470F6D" w:rsidRDefault="00470F6D" w:rsidP="00360B15">
            <w:r>
              <w:t xml:space="preserve">Grozījumi </w:t>
            </w:r>
            <w:r w:rsidR="00267DC9" w:rsidRPr="00267DC9">
              <w:t>Negodīgas komercprakses aizlieguma</w:t>
            </w:r>
            <w:r w:rsidR="00267DC9">
              <w:t xml:space="preserve"> </w:t>
            </w:r>
            <w:r>
              <w:t>likumā</w:t>
            </w:r>
          </w:p>
        </w:tc>
        <w:tc>
          <w:tcPr>
            <w:tcW w:w="4536" w:type="dxa"/>
            <w:shd w:val="clear" w:color="auto" w:fill="FFFFFF"/>
            <w:noWrap/>
            <w:tcMar>
              <w:top w:w="75" w:type="dxa"/>
              <w:left w:w="75" w:type="dxa"/>
              <w:bottom w:w="75" w:type="dxa"/>
              <w:right w:w="75" w:type="dxa"/>
            </w:tcMar>
          </w:tcPr>
          <w:p w14:paraId="1D8CAE60" w14:textId="77777777" w:rsidR="00267DC9" w:rsidRPr="00267DC9" w:rsidRDefault="00267DC9" w:rsidP="00267DC9">
            <w:pPr>
              <w:spacing w:after="240"/>
              <w:rPr>
                <w:b/>
                <w:bCs/>
              </w:rPr>
            </w:pPr>
            <w:r w:rsidRPr="00267DC9">
              <w:rPr>
                <w:b/>
                <w:bCs/>
              </w:rPr>
              <w:t>Iebildums (SIA “Credit Solutions”– 20.04.2026)</w:t>
            </w:r>
          </w:p>
          <w:p w14:paraId="32D237C0" w14:textId="52956D66" w:rsidR="00267DC9" w:rsidRPr="00267DC9" w:rsidRDefault="00267DC9" w:rsidP="00267DC9">
            <w:pPr>
              <w:spacing w:after="240"/>
            </w:pPr>
            <w:r w:rsidRPr="00267DC9">
              <w:t>SIA “Credit Solutions” (turpmāk – Sabiedrība) ir iepazinusies ar Finanšu ministrijas izstrādāto likumprojektu "Grozījumi Negodīgas komercprakses aizlieguma likumā" (turpmāk – Likumprojekts).</w:t>
            </w:r>
          </w:p>
          <w:p w14:paraId="45B185E9" w14:textId="77777777" w:rsidR="00267DC9" w:rsidRPr="00267DC9" w:rsidRDefault="00267DC9" w:rsidP="00267DC9">
            <w:pPr>
              <w:spacing w:after="240"/>
            </w:pPr>
            <w:r w:rsidRPr="00267DC9">
              <w:t xml:space="preserve">Sabiedrība neatbalsta Patērētāju tiesību aizsardzības centra (turpmāk – PTAC) regulatīvo un uzraudzības funkciju pār nebanku kreditētājiem nodošanu Latvijas Bankai un attiecīgi iebilst pret Likumprojekta priekšlikumu. Sabiedrība uzskata, ka piedāvātā regulatora maiņa nav nepieciešama un var radīt arī pretēju efektu iecerētajam. Neraugoties uz reformu virzību, joprojām nav pietiekami skaidri pamatots, kādēļ šāda funkciju nodošana ir nepieciešama. Lai gan </w:t>
            </w:r>
            <w:r w:rsidRPr="00267DC9">
              <w:lastRenderedPageBreak/>
              <w:t>tiek norādīts, ka reformas mērķis ir samazināt administratīvo slogu un nodrošināt caurspīdīgu un vienotu kreditētāju uzraudzības un kontroles pieeju, pastāv pamatots risks, ka praksē tā varētu būtiski sarežģīt normatīvo un uzņēmējdarbības vidi, vienlaikus nesniedzot skaidrojumu, kā minētie mērķi tiks sasniegti. Turklāt līdz šim nav sniegti pierādījumi, kas apliecinātu PTAC nespēju pienācīgi pildīt tam noteikto uzraudzības funkciju un tādējādi attaisnotu uzraudzības pilnvaru nodošanu citai institūcijai. Sabiedrība uzskata, ka jebkurai normatīvā regulējuma reformai ir jābūt balstītai konkrētu trūkumu identificēšanā un izmērāmos uzlabojumos, nevis institucionālās struktūras pašas par sevi pārveidē.</w:t>
            </w:r>
          </w:p>
          <w:p w14:paraId="466B0839" w14:textId="77777777" w:rsidR="00267DC9" w:rsidRPr="00267DC9" w:rsidRDefault="00267DC9" w:rsidP="00267DC9">
            <w:pPr>
              <w:spacing w:after="240"/>
            </w:pPr>
            <w:r w:rsidRPr="00267DC9">
              <w:t>Saskaņā ar spēkā esošo Negodīgas komercprakses aizlieguma likuma (turpmāk – NKAL) 14. panta pirmo daļu šā likuma ievērošanu atbilstoši kompetencei PTAC, kas nodrošina vienotu pieeju negodīgas komercprakses uzraudzībai visās patērētāju tiesību jomās. Anotācijā kā pamatojums PTAC funkciju nodošanai Latvijas Bankai finanšu pakalpojumu jomā tiek norādīts, ka no 2027. gada 1. janvāra patērētāju tiesību aizsardzību finanšu sektorā īstenos Latvijas Banka, un līdz ar to būtu nepieciešams atbilstoši precizēt arī uzraudzības kompetenci NKAL ietvaros.</w:t>
            </w:r>
          </w:p>
          <w:p w14:paraId="6DD00603" w14:textId="374D7AB1" w:rsidR="00267DC9" w:rsidRPr="00267DC9" w:rsidRDefault="00267DC9" w:rsidP="00267DC9">
            <w:pPr>
              <w:spacing w:after="240"/>
            </w:pPr>
            <w:r w:rsidRPr="00267DC9">
              <w:lastRenderedPageBreak/>
              <w:t>Tomēr no esošā regulējuma un anotācijā sniegtā pamatojuma neizriet, ka negodīgas komercprakses uzraudzības funkcijas nodošana Latvijas Bankai pati par sevi būtu objektīvi nepieciešama vai vienīgais iespējamais risinājums, jo NKAL sistēma ir veidota kā vienots horizontāls regulējums, kurā uzraudzības iestādes kompetence nav piesaistīta</w:t>
            </w:r>
            <w:r>
              <w:t xml:space="preserve"> </w:t>
            </w:r>
            <w:r w:rsidRPr="00267DC9">
              <w:t>nozares speciālajam uzraugam, bet gan patērētāju tiesību aizsardzības kopējai koordinācijai.</w:t>
            </w:r>
          </w:p>
          <w:p w14:paraId="6083A530" w14:textId="77777777" w:rsidR="00267DC9" w:rsidRPr="00267DC9" w:rsidRDefault="00267DC9" w:rsidP="00267DC9">
            <w:pPr>
              <w:spacing w:after="240"/>
            </w:pPr>
            <w:r w:rsidRPr="00267DC9">
              <w:t xml:space="preserve">Turklāt negodīga komercprakse pēc savas būtības aptver tirgus uzvedības, reklāmas, informācijas sniegšanas un profesionālās rūpības vērtēšanu, kas tradicionāli ir PTAC uzkrātās kompetences kodols un nav saistīta ar finanšu prudenciālo vai </w:t>
            </w:r>
            <w:proofErr w:type="spellStart"/>
            <w:r w:rsidRPr="00267DC9">
              <w:t>sektoriālo</w:t>
            </w:r>
            <w:proofErr w:type="spellEnd"/>
            <w:r w:rsidRPr="00267DC9">
              <w:t xml:space="preserve"> uzraudzību. Šo funkciju sadalīšana atkarībā no nozares rada risku sadrumstalot negodīgas komercprakses piemērošanas praksi, jo identiska rīcība (piemēram, maldinoša reklāma vai būtiskas informācijas noklusēšana) tiks uzraudzīta un sankcionēta atšķirīgi atkarībā no tā, vai pakalpojums tiek kvalificēts kā finanšu pakalpojums vai nē.</w:t>
            </w:r>
          </w:p>
          <w:p w14:paraId="35650545" w14:textId="77777777" w:rsidR="00267DC9" w:rsidRPr="00267DC9" w:rsidRDefault="00267DC9" w:rsidP="00267DC9">
            <w:pPr>
              <w:spacing w:after="240"/>
            </w:pPr>
            <w:r w:rsidRPr="00267DC9">
              <w:t xml:space="preserve">Papildus jāņem vērā, ka NKAL jau paredz īpašu, apgrozījumā balstītu sankciju mehānismu ar maksimālo sodu līdz 4 % no apgrozījuma, bet ne vairāk kā 300 000 euro, kas nodrošina efektīvu un samērīgu iedarbību. Līdz ar to patērētāju kreditēšanas </w:t>
            </w:r>
            <w:r w:rsidRPr="00267DC9">
              <w:lastRenderedPageBreak/>
              <w:t xml:space="preserve">pakalpojumu sniedzēju negodīgas komercprakses pārkāpumu uzraudzība var tikt efektīvi īstenota arī paliekot PTAC kompetencē, bez nepieciešamības šo funkciju nodot </w:t>
            </w:r>
            <w:proofErr w:type="spellStart"/>
            <w:r w:rsidRPr="00267DC9">
              <w:t>sektoriālajam</w:t>
            </w:r>
            <w:proofErr w:type="spellEnd"/>
            <w:r w:rsidRPr="00267DC9">
              <w:t xml:space="preserve"> uzraugam.</w:t>
            </w:r>
          </w:p>
          <w:p w14:paraId="7F87F1F1" w14:textId="77777777" w:rsidR="00267DC9" w:rsidRPr="00267DC9" w:rsidRDefault="00267DC9" w:rsidP="00267DC9">
            <w:pPr>
              <w:spacing w:after="240"/>
            </w:pPr>
            <w:r w:rsidRPr="00267DC9">
              <w:t>Ņemot vērā minēto, PTAC funkciju pilnīga nodošana Latvijas Bankai negodīgas komercprakses aizlieguma jomā nav pietiekami pamatota ar anotācijā norādītajiem argumentiem, un rada risku mazināt likuma vienotu piemērošanu, sarežģīt uzraudzības sistēmu un radīt nevajadzīgu kompetenču sadrumstalotību patērētāju tiesību jomā.</w:t>
            </w:r>
          </w:p>
          <w:p w14:paraId="5CE7849F" w14:textId="1D59AE80" w:rsidR="00470F6D" w:rsidRPr="00267DC9" w:rsidRDefault="00267DC9" w:rsidP="00267DC9">
            <w:r w:rsidRPr="00267DC9">
              <w:t xml:space="preserve">Būtiski, ka vienlaikus ar grozījumiem NKAL stātos spēkā Patērētāju tiesību aizsardzības likuma grozījumi, kuros līdz ar PTAC funkciju patērētāju tiesību uzraudzības jomā tiek ievērojami palielināti administratīvā procesa ietvaros piemērojamo sankciju maksimālie apmēri. Turklāt no saistītajiem PTAL grozījumiem izriet, ka Latvijas Banka būs tiesīga piemērot sodus arī par Latvijas Bankas noteikumu pārkāpumiem. Tādējādi pastāv risks, ka vienai institūcijai tiek koncentrēta pārmērīga institucionālā vara. Šāda funkciju un sankciju koncentrācija, aptverot gan licencēšanu, gan patērētāju tiesību aizsardzību, gan negodīgas komercprakses uzraudzību, gan būtiski pastiprinātus soda instrumentus, bez pietiekami diferencēta un nošķirta regulējuma </w:t>
            </w:r>
            <w:r w:rsidRPr="00267DC9">
              <w:lastRenderedPageBreak/>
              <w:t>var novest pie nesamērīgu soda sankciju piemērošanas riska un apdraudēt samērīguma, vienlīdzības un tiesiskās noteiktības principu ievērošanu.</w:t>
            </w:r>
          </w:p>
        </w:tc>
        <w:tc>
          <w:tcPr>
            <w:tcW w:w="4820" w:type="dxa"/>
            <w:shd w:val="clear" w:color="auto" w:fill="FFFFFF"/>
            <w:noWrap/>
            <w:tcMar>
              <w:top w:w="75" w:type="dxa"/>
              <w:left w:w="75" w:type="dxa"/>
              <w:bottom w:w="75" w:type="dxa"/>
              <w:right w:w="75" w:type="dxa"/>
            </w:tcMar>
          </w:tcPr>
          <w:p w14:paraId="0B566AEA" w14:textId="77777777" w:rsidR="00120BC8" w:rsidRDefault="00120BC8" w:rsidP="00120BC8">
            <w:pPr>
              <w:rPr>
                <w:b/>
                <w:bCs/>
              </w:rPr>
            </w:pPr>
            <w:r w:rsidRPr="00D771D4">
              <w:rPr>
                <w:b/>
                <w:bCs/>
              </w:rPr>
              <w:lastRenderedPageBreak/>
              <w:t>Nav ņemts vērā</w:t>
            </w:r>
          </w:p>
          <w:p w14:paraId="0D505732" w14:textId="77777777" w:rsidR="00120BC8" w:rsidRDefault="00120BC8" w:rsidP="00120BC8">
            <w:pPr>
              <w:jc w:val="center"/>
              <w:rPr>
                <w:b/>
                <w:bCs/>
              </w:rPr>
            </w:pPr>
          </w:p>
          <w:p w14:paraId="5E2DD7E1" w14:textId="77777777" w:rsidR="00120BC8" w:rsidRDefault="00120BC8" w:rsidP="00120BC8">
            <w:pPr>
              <w:rPr>
                <w:b/>
                <w:bCs/>
              </w:rPr>
            </w:pPr>
            <w:r w:rsidRPr="001A0482">
              <w:rPr>
                <w:b/>
                <w:bCs/>
              </w:rPr>
              <w:t xml:space="preserve">I </w:t>
            </w:r>
            <w:r>
              <w:rPr>
                <w:b/>
                <w:bCs/>
              </w:rPr>
              <w:t>P</w:t>
            </w:r>
            <w:r w:rsidRPr="001A0482">
              <w:rPr>
                <w:b/>
                <w:bCs/>
              </w:rPr>
              <w:t>ar reformas pamato</w:t>
            </w:r>
            <w:r>
              <w:rPr>
                <w:b/>
                <w:bCs/>
              </w:rPr>
              <w:t>tību</w:t>
            </w:r>
          </w:p>
          <w:p w14:paraId="1FBFADDA" w14:textId="77777777" w:rsidR="00120BC8" w:rsidRPr="00F15CC9" w:rsidRDefault="00120BC8" w:rsidP="00120BC8">
            <w:pPr>
              <w:rPr>
                <w:b/>
                <w:bCs/>
              </w:rPr>
            </w:pPr>
          </w:p>
          <w:p w14:paraId="177D593E" w14:textId="77777777" w:rsidR="00120BC8" w:rsidRDefault="00120BC8" w:rsidP="00120BC8">
            <w:r>
              <w:t>Skaidrojam, ka a</w:t>
            </w:r>
            <w:r w:rsidRPr="00E4498E">
              <w:t>r likumprojekt</w:t>
            </w:r>
            <w:r>
              <w:t>u pakotnē</w:t>
            </w:r>
            <w:r w:rsidRPr="00E4498E">
              <w:t xml:space="preserve"> ietvertajiem</w:t>
            </w:r>
            <w:r>
              <w:t xml:space="preserve"> 13 likumu</w:t>
            </w:r>
            <w:r w:rsidRPr="00E4498E">
              <w:t xml:space="preserve"> grozījumiem</w:t>
            </w:r>
            <w:r>
              <w:t>, tajā skaitā likumprojektu,</w:t>
            </w:r>
            <w:r w:rsidRPr="00E4498E">
              <w:t xml:space="preserve">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14:paraId="3ED55938" w14:textId="77777777" w:rsidR="00120BC8" w:rsidRDefault="00120BC8" w:rsidP="00120BC8"/>
          <w:p w14:paraId="19CC8DF1" w14:textId="77777777" w:rsidR="00120BC8" w:rsidRDefault="00120BC8" w:rsidP="00120BC8">
            <w:r>
              <w:t xml:space="preserve">Diskurss par patērētāju kreditēšanas uzraudzības sistēmas reformu jau pirms likumprojektu </w:t>
            </w:r>
            <w:r>
              <w:lastRenderedPageBreak/>
              <w:t xml:space="preserve">pakotnes izstrādes ir bijis ilgs un pietiekami izdiskutēts gan valsts institūciju, gan nozares nevalstiskā sektora ietvarā. </w:t>
            </w:r>
          </w:p>
          <w:p w14:paraId="576E0CCC" w14:textId="77777777" w:rsidR="00120BC8" w:rsidRPr="00D61B3D" w:rsidRDefault="00120BC8" w:rsidP="00120BC8">
            <w:r>
              <w:t xml:space="preserve">Diskusijas par </w:t>
            </w:r>
            <w:r w:rsidRPr="00F31FD1">
              <w:t>patērētāju kreditēšanas uzraudzības un licencēšanas, kā arī patērētāju tiesību un interešu aizsardzīb</w:t>
            </w:r>
            <w:r>
              <w:t>as</w:t>
            </w:r>
            <w:r w:rsidRPr="00F31FD1">
              <w:t xml:space="preserve"> finanšu sektorā nodošanu vienai institūcijai</w:t>
            </w:r>
            <w:r>
              <w:t xml:space="preserve"> </w:t>
            </w:r>
            <w:r w:rsidRPr="00F31FD1">
              <w:t>tika uzsākta</w:t>
            </w:r>
            <w:r>
              <w:t>s</w:t>
            </w:r>
            <w:r w:rsidRPr="00F31FD1">
              <w:t xml:space="preserve"> jau 2025. gada</w:t>
            </w:r>
            <w:r>
              <w:t xml:space="preserve"> </w:t>
            </w:r>
            <w:r w:rsidRPr="00F31FD1">
              <w:t xml:space="preserve">sākumā Ekonomikas ministrijas sagatavotā </w:t>
            </w:r>
            <w:r>
              <w:t>r</w:t>
            </w:r>
            <w:r w:rsidRPr="00F31FD1">
              <w:t xml:space="preserve">īcības plāna projekta ietvaros. Ar Ministru kabineta </w:t>
            </w:r>
            <w:r>
              <w:t xml:space="preserve">15.07.2025. </w:t>
            </w:r>
            <w:r w:rsidRPr="00F31FD1">
              <w:t xml:space="preserve"> rīkojumu Nr.422 “Rīcības plāns investīciju piesaistei un finanšu pieejamībai tautsaimniecībā” (prot. Nr. 28 50. §) tika apstiprināts Rīcības plāns, kura 14. virzienā Ekonomikas ministrija identificēj</w:t>
            </w:r>
            <w:r>
              <w:t>a</w:t>
            </w:r>
            <w:r w:rsidRPr="00F31FD1">
              <w:t xml:space="preserve"> kreditēšanas pakalpojumu sniedzēju sadrumstalotas uzraudzības problemātiku un attiecīgi uzdev</w:t>
            </w:r>
            <w:r>
              <w:t>a</w:t>
            </w:r>
            <w:r w:rsidRPr="00F31FD1">
              <w:t xml:space="preserve"> Finanšu ministrijai izstrādāt informatīvā ziņojum</w:t>
            </w:r>
            <w:r>
              <w:t xml:space="preserve">u ar </w:t>
            </w:r>
            <w:r w:rsidRPr="00D61B3D">
              <w:t xml:space="preserve">izvērtējumu par vienotas kreditētāju uzraudzības un kontroles institūcijas noteikšanu, tādējādi samazinot birokrātisko slogu un nodrošinot caurskatāmu vienotu pieeju kreditētāju uzraudzībā un kontrolē. Vienlaikus </w:t>
            </w:r>
            <w:r>
              <w:t>tika noteikta</w:t>
            </w:r>
            <w:r w:rsidRPr="00D61B3D">
              <w:t xml:space="preserve"> nepieciešamību izvērtēt arī Lietuvas pieredzi, kur visu kreditētāju, kuru uzraudzību neveic Eiropas Centrālā banka, uzraudzība ir nodota Lietuvas Bankai.</w:t>
            </w:r>
          </w:p>
          <w:p w14:paraId="33EDDB6E" w14:textId="77777777" w:rsidR="00120BC8" w:rsidRDefault="00120BC8" w:rsidP="00120BC8">
            <w:r w:rsidRPr="0056712A">
              <w:t>Finanšu ministrija</w:t>
            </w:r>
            <w:r>
              <w:t xml:space="preserve"> izstrādāja</w:t>
            </w:r>
            <w:r w:rsidRPr="0056712A">
              <w:t xml:space="preserve"> informatīv</w:t>
            </w:r>
            <w:r>
              <w:t>o</w:t>
            </w:r>
            <w:r w:rsidRPr="0056712A">
              <w:t xml:space="preserve"> ziņojum</w:t>
            </w:r>
            <w:r>
              <w:t xml:space="preserve">u </w:t>
            </w:r>
            <w:r w:rsidRPr="0056712A">
              <w:t>“Par vienotas patērētāju kreditētāju licencēšanas un uzraudzības institūcijas noteikšanu”</w:t>
            </w:r>
            <w:r>
              <w:t xml:space="preserve"> </w:t>
            </w:r>
            <w:r w:rsidRPr="00D53237">
              <w:t xml:space="preserve">(25-TA-3014) </w:t>
            </w:r>
            <w:r>
              <w:t xml:space="preserve">(turpmāk – Informatīvais ziņojums), kura izstrādes laikā, kā arī oficiālajā sabiedriskās apspriešanas procesā </w:t>
            </w:r>
            <w:r>
              <w:lastRenderedPageBreak/>
              <w:t xml:space="preserve">tika uzklausītas praktiski visas nozares  asociācijas, kā arī individuāli patērētāju kreditētāji, un tā apspriešanai tika organizēta sanāksme. </w:t>
            </w:r>
            <w:r w:rsidRPr="00D53237">
              <w:t>TAP pieejami atzinumi un izziņa par sniegtajiem iebildumiem un priekšlikumiem  pie minētā informatīvā ziņojuma.</w:t>
            </w:r>
          </w:p>
          <w:p w14:paraId="4707E553" w14:textId="77777777" w:rsidR="00120BC8" w:rsidRDefault="00120BC8" w:rsidP="00120BC8">
            <w:r>
              <w:t>Informatīvā ziņojuma projekts tika arī izskatīts un atbalstīts Finanšu sektora attīstības padomes (</w:t>
            </w:r>
            <w:r w:rsidRPr="00430A8D">
              <w:t xml:space="preserve">turpmāk – </w:t>
            </w:r>
            <w:r>
              <w:t>FSAP) 09.12.2025. sēdē, tajā skaitā, piedaloties finanšu nozares asociācijām.</w:t>
            </w:r>
          </w:p>
          <w:p w14:paraId="14F57D3E" w14:textId="77777777" w:rsidR="00120BC8" w:rsidRDefault="00120BC8" w:rsidP="00120BC8"/>
          <w:p w14:paraId="28D27011" w14:textId="77777777" w:rsidR="00120BC8" w:rsidRDefault="00120BC8" w:rsidP="00120BC8">
            <w:r>
              <w:t>Ar I</w:t>
            </w:r>
            <w:r w:rsidRPr="00E3061F">
              <w:t>nformatīv</w:t>
            </w:r>
            <w:r>
              <w:t>o</w:t>
            </w:r>
            <w:r w:rsidRPr="00E3061F">
              <w:t xml:space="preserve"> ziņojum</w:t>
            </w:r>
            <w:r>
              <w:t>u</w:t>
            </w:r>
            <w:r w:rsidRPr="00E3061F">
              <w:t xml:space="preserve"> </w:t>
            </w:r>
            <w:r>
              <w:t xml:space="preserve">tika </w:t>
            </w:r>
            <w:r w:rsidRPr="00E3061F">
              <w:t>izvērtēta Latvijā esošā patērētāju tiesību aizsardzības sistēma, kompetenču sadalījums starp finanšu sektoru uzraugošajām iestādēm un piedāvāti risinājumi turpmākai patērētāju kreditēšanas nozares uzraudzības sistēmas attīstībai, kā arī izvērtēti citu valstu uzraudzības modeļi, tostarp Lietuv</w:t>
            </w:r>
            <w:r>
              <w:t>as modelis.</w:t>
            </w:r>
          </w:p>
          <w:p w14:paraId="2C220D06" w14:textId="77777777" w:rsidR="00120BC8" w:rsidRDefault="00120BC8" w:rsidP="00120BC8">
            <w:r>
              <w:t xml:space="preserve">Tāpat minams, ka FSAP </w:t>
            </w:r>
            <w:r w:rsidRPr="00354F2F">
              <w:t>09.12.2025</w:t>
            </w:r>
            <w:r>
              <w:t xml:space="preserve">. sēdē arī tika iekļauts un izskatīts jautājums par vienotas nebanku kreditētāju uzraudzības un kontroles institūcijas noteikšanu. Šajā FSAP sēdē lēmuma pieņemšanai tika piedāvāti divi iespējamie risinājuma varianti: 1.variants – ar normatīvā regulējuma palīdzību skaidrāk noteikt praktiskās uzraudzības jomas robežas starp Patērētāju tiesību centru (turpmāk – PTAC) un Valsts ieņēmumu dienestu uzraudzībā esošajiem subjektiem; 2.variants – patērētāju kreditēšanas pakalpojumu sniedzēju licencēšanas un uzraudzības funkcijas, patērētāju – finanšu </w:t>
            </w:r>
            <w:r>
              <w:lastRenderedPageBreak/>
              <w:t>pakalpojumu saņēmēju – tiesību un interešu aizsardzības funkcijas un negodīgas komercprakses uzraudzības finanšu pakalpojumu jomā funkcijas nodošanu no PTAC Latvijas Bankai. FSAP sēdē tika nolemts virzīt tālāk piedāvāto 2. variantu.</w:t>
            </w:r>
          </w:p>
          <w:p w14:paraId="315A78A5" w14:textId="77777777" w:rsidR="00120BC8" w:rsidRDefault="00120BC8" w:rsidP="00120BC8"/>
          <w:p w14:paraId="76D32722" w14:textId="77777777" w:rsidR="00120BC8" w:rsidRPr="009B33BB" w:rsidRDefault="00120BC8" w:rsidP="00120BC8">
            <w:r>
              <w:t>Vienlaikus atzīmējams, l</w:t>
            </w:r>
            <w:r w:rsidRPr="009B33BB">
              <w:t xml:space="preserve">ai nodrošinātu to, ka </w:t>
            </w:r>
            <w:r>
              <w:t xml:space="preserve">patērētāju </w:t>
            </w:r>
            <w:r w:rsidRPr="009B33BB">
              <w:t xml:space="preserve">kreditēšanas pakalpojumu sniedzējiem ir saprotams </w:t>
            </w:r>
            <w:r>
              <w:t>plānotais</w:t>
            </w:r>
            <w:r w:rsidRPr="009B33BB">
              <w:t xml:space="preserve"> Latvijas Bankas uzraudzības ietvars, </w:t>
            </w:r>
            <w:r>
              <w:t>Latvijas Banka</w:t>
            </w:r>
            <w:r w:rsidRPr="009B33BB">
              <w:t xml:space="preserve"> sadarbībā ar biedrības "Asociācija Fintech Latvija" biedriem uzsāk</w:t>
            </w:r>
            <w:r>
              <w:t>a</w:t>
            </w:r>
            <w:r w:rsidRPr="009B33BB">
              <w:t xml:space="preserve"> vairāku tematisko virzienu sarunu ciklu, kura ietvaros </w:t>
            </w:r>
            <w:r>
              <w:t>tika izskatīti</w:t>
            </w:r>
            <w:r w:rsidRPr="009B33BB">
              <w:t xml:space="preserve"> galvenie uzraudzības aspekti un izrunāti neskaidrie jautājumi, izveidojot piecas tematiskās sarunu grupas:</w:t>
            </w:r>
          </w:p>
          <w:p w14:paraId="1D913159" w14:textId="77777777" w:rsidR="00120BC8" w:rsidRPr="009B33BB" w:rsidRDefault="00120BC8" w:rsidP="00120BC8">
            <w:pPr>
              <w:ind w:firstLine="720"/>
            </w:pPr>
            <w:r w:rsidRPr="009B33BB">
              <w:t xml:space="preserve">1) </w:t>
            </w:r>
            <w:r>
              <w:rPr>
                <w:rFonts w:eastAsia="Calibri"/>
              </w:rPr>
              <w:t>n</w:t>
            </w:r>
            <w:r w:rsidRPr="004B0E78">
              <w:rPr>
                <w:rFonts w:eastAsia="Calibri"/>
              </w:rPr>
              <w:t>oziedzīgi iegūtu līdzekļu legalizācijas un terorisma un proliferācijas finansēšanas novēršan</w:t>
            </w:r>
            <w:r>
              <w:rPr>
                <w:rFonts w:eastAsia="Calibri"/>
              </w:rPr>
              <w:t xml:space="preserve">as (turpmāk – </w:t>
            </w:r>
            <w:r w:rsidRPr="009B33BB">
              <w:t>NILLTPFN</w:t>
            </w:r>
            <w:r>
              <w:t>)</w:t>
            </w:r>
            <w:r w:rsidRPr="009B33BB" w:rsidDel="0008057C">
              <w:t xml:space="preserve"> </w:t>
            </w:r>
            <w:r w:rsidRPr="009B33BB">
              <w:t>jautājumi;</w:t>
            </w:r>
          </w:p>
          <w:p w14:paraId="661EEFAF" w14:textId="77777777" w:rsidR="00120BC8" w:rsidRPr="009B33BB" w:rsidRDefault="00120BC8" w:rsidP="00120BC8">
            <w:pPr>
              <w:ind w:firstLine="720"/>
            </w:pPr>
            <w:r w:rsidRPr="009B33BB">
              <w:t>2) kredītrisku/kredītspējas vērtēšana;</w:t>
            </w:r>
          </w:p>
          <w:p w14:paraId="4BDDE9EF" w14:textId="77777777" w:rsidR="00120BC8" w:rsidRPr="009B33BB" w:rsidRDefault="00120BC8" w:rsidP="00120BC8">
            <w:pPr>
              <w:ind w:firstLine="720"/>
            </w:pPr>
            <w:r w:rsidRPr="009B33BB">
              <w:t xml:space="preserve">3) </w:t>
            </w:r>
            <w:proofErr w:type="spellStart"/>
            <w:r w:rsidRPr="009B33BB">
              <w:t>pirmslīguma</w:t>
            </w:r>
            <w:proofErr w:type="spellEnd"/>
            <w:r w:rsidRPr="009B33BB">
              <w:t xml:space="preserve"> informācija un līguma saturs;</w:t>
            </w:r>
          </w:p>
          <w:p w14:paraId="1B645C1B" w14:textId="77777777" w:rsidR="00120BC8" w:rsidRDefault="00120BC8" w:rsidP="00120BC8">
            <w:pPr>
              <w:ind w:firstLine="720"/>
            </w:pPr>
            <w:r w:rsidRPr="009B33BB">
              <w:t xml:space="preserve">4) reklāmas ierobežojumi, aizdevumu administrēšana un kvalitātes pārraudzība; </w:t>
            </w:r>
            <w:r w:rsidRPr="009B33BB">
              <w:tab/>
            </w:r>
          </w:p>
          <w:p w14:paraId="742E28F5" w14:textId="77777777" w:rsidR="00120BC8" w:rsidRDefault="00120BC8" w:rsidP="00120BC8">
            <w:pPr>
              <w:ind w:firstLine="720"/>
            </w:pPr>
            <w:r w:rsidRPr="009B33BB">
              <w:t xml:space="preserve">5) pārvaldības jautājumi. </w:t>
            </w:r>
          </w:p>
          <w:p w14:paraId="29E64534" w14:textId="77777777" w:rsidR="00120BC8" w:rsidRDefault="00120BC8" w:rsidP="00120BC8">
            <w:r w:rsidRPr="00234FF2">
              <w:t xml:space="preserve">Darba grupu ietvaros, izskatot Latvijas Bankas uzraudzības pieeju katrā attiecīgajā tematiskajā jautājumā, notika diskusijas un ir panāktas vienošanās un kopējas izpratnes par pārvaldības sistēmu, </w:t>
            </w:r>
            <w:r w:rsidRPr="18B3CC22">
              <w:rPr>
                <w:rFonts w:eastAsia="Calibri"/>
              </w:rPr>
              <w:t>NILLTPFN</w:t>
            </w:r>
            <w:r w:rsidRPr="00234FF2">
              <w:t xml:space="preserve"> jautājumiem, kredītrisku un kredītspējas novērtēšanas atsevišķiem aspektiem, vienlaikus tiks turpinātas diskusijas </w:t>
            </w:r>
            <w:r w:rsidRPr="00234FF2">
              <w:lastRenderedPageBreak/>
              <w:t xml:space="preserve">par kredītspējas vērtēšanas pieejas pilnveides iespējām un salīdzinājumu ar Lietuvā izmantot modeli, atsevišķiem tehniskiem </w:t>
            </w:r>
            <w:r w:rsidRPr="18B3CC22">
              <w:rPr>
                <w:rFonts w:eastAsia="Calibri"/>
              </w:rPr>
              <w:t>NILLTPFN</w:t>
            </w:r>
            <w:r w:rsidRPr="00234FF2">
              <w:t xml:space="preserve"> </w:t>
            </w:r>
            <w:r>
              <w:t xml:space="preserve">jomas </w:t>
            </w:r>
            <w:r w:rsidRPr="00234FF2">
              <w:t xml:space="preserve">uzraudzības aspektiem, </w:t>
            </w:r>
            <w:r>
              <w:t>K</w:t>
            </w:r>
            <w:r w:rsidRPr="00234FF2">
              <w:t>redīt</w:t>
            </w:r>
            <w:r>
              <w:t xml:space="preserve">u </w:t>
            </w:r>
            <w:r w:rsidRPr="00234FF2">
              <w:t xml:space="preserve">reģistram  </w:t>
            </w:r>
            <w:r w:rsidRPr="396E4632">
              <w:t>sniedzamās</w:t>
            </w:r>
            <w:r w:rsidRPr="1EFEED41">
              <w:t xml:space="preserve"> </w:t>
            </w:r>
            <w:r w:rsidRPr="00234FF2">
              <w:t>informācij</w:t>
            </w:r>
            <w:r w:rsidRPr="3D1CF749">
              <w:t xml:space="preserve">as </w:t>
            </w:r>
            <w:r w:rsidRPr="614832AF">
              <w:t>apjomu</w:t>
            </w:r>
            <w:r w:rsidRPr="00234FF2">
              <w:t>, iesniedzamo uzraudzības pārskatu</w:t>
            </w:r>
            <w:r>
              <w:t xml:space="preserve"> u.c. jautājumiem.</w:t>
            </w:r>
            <w:r w:rsidRPr="00234FF2">
              <w:t xml:space="preserve"> </w:t>
            </w:r>
            <w:r w:rsidRPr="009D0164">
              <w:t>Latvijas Banka ir izveidojusi informācijas apmaiņas kanālu regulārai saziņai ar nozari, kurā tai skaitā tiek nodrošināta atbilžu publicēšana uz nozares neskaidriem jautājumiem.</w:t>
            </w:r>
            <w:r>
              <w:t xml:space="preserve"> Latvijas Banka turpina saziņa ar patērētāju kreditētājiem. </w:t>
            </w:r>
          </w:p>
          <w:p w14:paraId="01F99BA9" w14:textId="77777777" w:rsidR="00120BC8" w:rsidRDefault="00120BC8" w:rsidP="00120BC8"/>
          <w:p w14:paraId="5FD5459C" w14:textId="77777777" w:rsidR="00120BC8" w:rsidRDefault="00120BC8" w:rsidP="00120BC8">
            <w:r>
              <w:t xml:space="preserve">Vienlaikus uzsverams, ka jautājums par to, kura no valsts institūcijām pildīs kādu no savām funkcijām, vai no tām izrietošos uzdevumus, ir pašas valsts prerogatīva, proti, noteikt, kura no institūcijām turpmāk pildīs vienotas patērētāju kreditētāju licencēšanas un uzraudzības institūcijas funkcijas. Savukārt samērīguma princips savā būtībā ietver to, lai valsts pieņemot lēmumus neierobežotu personas tiesības vairāk nekā tas ir objektīvi nepieciešams leģitīma mērķa sasniegšanai. Tātad – starp mērķi un līdzekļiem ir jābūt saprātīgai līdzsvarotībai. Nosakot vienu patērētāju kreditēšanas uzraudzības institūciju valsts neiejaucas personas – patērētāja, kas ir fiziska persona, tiesībās, bet kā jau iepriekš minēts, izvēlas institūciju, kas nodrošinās atbilstošās funkcijas. Tādējādi patērētājiem pienākošais tiesību kopums, kas izriet no patērētāju tiesību tvēruma nekādā veidā netiek ierobežots vai mazināts. Arī patērētāju </w:t>
            </w:r>
            <w:r>
              <w:lastRenderedPageBreak/>
              <w:t>kreditētāju tiesības un pienākumi ar šo iecerēto funkciju un no tām izrietošo uzdevumu pāreju netiek ierobežoti, kā arī nerada jaunu administratīvo, finanšu vai konkurences slogu.</w:t>
            </w:r>
          </w:p>
          <w:p w14:paraId="13DC59C1" w14:textId="77777777" w:rsidR="00120BC8" w:rsidRDefault="00120BC8" w:rsidP="00120BC8"/>
          <w:p w14:paraId="076BF0B2" w14:textId="77777777" w:rsidR="00120BC8" w:rsidRDefault="00120BC8" w:rsidP="00120BC8">
            <w:r w:rsidRPr="00BE63DC">
              <w:t>Tiesiskās paļāvības princips nozīmē, ka persona var paļauties uz to, ka tiesības un likumiskās intereses, kuras tā ir ieguvusi, tai vēlāk netiks atņemtas. Šā principa pamatā ir personas paļaušanās uz valsts tiesisku un konsekventu rīcību (</w:t>
            </w:r>
            <w:r w:rsidRPr="00BE63DC">
              <w:rPr>
                <w:i/>
              </w:rPr>
              <w:t>Satversmes tiesas 2012.gada 25.janvāra sprieduma lietā Nr. 2011-08-01 10.punkts</w:t>
            </w:r>
            <w:r w:rsidRPr="00BE63DC">
              <w:t>). Tā galvenais uzdevums ir aizsargāt personas tiesības gadījumos, kad normatīvā regulējuma grozījumu rezultātā notiek vai ir iespējama privātpersonu tiesiskā stāvokļa pasliktināšanās (</w:t>
            </w:r>
            <w:r w:rsidRPr="00BE63DC">
              <w:rPr>
                <w:i/>
              </w:rPr>
              <w:t>Satversmes tiesas 2006.gada 8.novembra sprieduma lietā Nr. 2006-04-01 21.punkts</w:t>
            </w:r>
            <w:r w:rsidRPr="00BE63DC">
              <w:t>). Taču tiesiskās paļāvības princips neizslēdz valsts iespēju grozīt pastāvošo tiesisko regulējumu (</w:t>
            </w:r>
            <w:r w:rsidRPr="00BE63DC">
              <w:rPr>
                <w:i/>
              </w:rPr>
              <w:t>Satversmes tiesas 2010.gada 1.decembra sprieduma lietā Nr. 2010-21-01 19.punkts</w:t>
            </w:r>
            <w:r w:rsidRPr="00BE63DC">
              <w:t>). Tiesiskās paļāvības princips tostarp noteic arī to, ka personas reiz iegūtās tiesības nevar pastāvēt neierobežoti ilgi, proti, šis princips nedod pamatu ticēt, ka reiz noteiktā tiesiskā situācija nekad nemainīsies (</w:t>
            </w:r>
            <w:r w:rsidRPr="00BE63DC">
              <w:rPr>
                <w:i/>
              </w:rPr>
              <w:t>Satversmes tiesas 2004.gada 25.oktobra sprieduma lietā Nr. 2004-03-01 9.3.punkts</w:t>
            </w:r>
            <w:r w:rsidRPr="00BE63DC">
              <w:t>).</w:t>
            </w:r>
          </w:p>
          <w:p w14:paraId="52FD9D40" w14:textId="77777777" w:rsidR="00120BC8" w:rsidRDefault="00120BC8" w:rsidP="00120BC8">
            <w:r>
              <w:t xml:space="preserve">Apvienojot regulējošā ietvara izstrādi, uzraudzību un patērētāju tiesību aizsardzību vienā institūcijā, tiek panākta lielāka saskaņotība un koordinācija. Tas ir īpaši būtiski situācijās, </w:t>
            </w:r>
            <w:r>
              <w:lastRenderedPageBreak/>
              <w:t>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14:paraId="6686901E" w14:textId="77777777" w:rsidR="00120BC8" w:rsidRDefault="00120BC8" w:rsidP="00120BC8">
            <w:r>
              <w:t xml:space="preserve">Uzņēmējdarbības brīvība pēc būtības ietver personas tiesības brīvi uzsākt un veikt jebkāda veida saimniecisko darbību, izvēlēties nodarbošanos, veikt ieguldījumus un organizēt uzņēmumu, ja vien tas nav aizliegts ar likumu un atbilst sabiedrības interesēm. Funkciju pāreja no vienas institūcijas uz otru nerada Satversmes 105. pantā ietverto tiesību uz uzņēmējdarbības brīvību aizskārumu. </w:t>
            </w:r>
          </w:p>
          <w:p w14:paraId="5353B001" w14:textId="77777777" w:rsidR="00120BC8" w:rsidRDefault="00120BC8" w:rsidP="00120BC8"/>
          <w:p w14:paraId="4C93FFC9" w14:textId="77777777" w:rsidR="00120BC8" w:rsidRDefault="00120BC8" w:rsidP="00120BC8">
            <w:r>
              <w:t xml:space="preserve">Attiecībā uz labas likumdošanas principu norādāms, ka Satversmes tiesa ir atzinusi to, ka tas, ka </w:t>
            </w:r>
            <w:r w:rsidRPr="00CF1F0A">
              <w:t>likumdevējs nav ņēmis vērā visus paustos iebildumus un sniegtos priekšlikumus, nevar būt par pamatu tam, lai atzītu, ka labas likumdošanas princips nav ievērots (</w:t>
            </w:r>
            <w:r w:rsidRPr="00CF1F0A">
              <w:rPr>
                <w:i/>
                <w:iCs/>
              </w:rPr>
              <w:t>sk., piemēram, Satversmes tiesas 2015. gada 25. marta sprieduma lietā Nr. 2014-11-0103 18.1. punktu</w:t>
            </w:r>
            <w:r>
              <w:rPr>
                <w:i/>
                <w:iCs/>
              </w:rPr>
              <w:t>;</w:t>
            </w:r>
            <w:r w:rsidRPr="00391BD4">
              <w:rPr>
                <w:i/>
                <w:iCs/>
              </w:rPr>
              <w:t xml:space="preserve"> </w:t>
            </w:r>
            <w:r>
              <w:rPr>
                <w:i/>
                <w:iCs/>
              </w:rPr>
              <w:t xml:space="preserve">sk. arī </w:t>
            </w:r>
            <w:r w:rsidRPr="00391BD4">
              <w:rPr>
                <w:i/>
                <w:iCs/>
              </w:rPr>
              <w:t>Satversmes tiesas 20</w:t>
            </w:r>
            <w:r>
              <w:rPr>
                <w:i/>
                <w:iCs/>
              </w:rPr>
              <w:t>20</w:t>
            </w:r>
            <w:r w:rsidRPr="00391BD4">
              <w:rPr>
                <w:i/>
                <w:iCs/>
              </w:rPr>
              <w:t xml:space="preserve">. gada </w:t>
            </w:r>
            <w:r>
              <w:rPr>
                <w:i/>
                <w:iCs/>
              </w:rPr>
              <w:t>12. februāra</w:t>
            </w:r>
            <w:r w:rsidRPr="00391BD4">
              <w:rPr>
                <w:i/>
                <w:iCs/>
              </w:rPr>
              <w:t xml:space="preserve"> sprieduma lietā Nr. 20</w:t>
            </w:r>
            <w:r>
              <w:rPr>
                <w:i/>
                <w:iCs/>
              </w:rPr>
              <w:t>19</w:t>
            </w:r>
            <w:r w:rsidRPr="00391BD4">
              <w:rPr>
                <w:i/>
                <w:iCs/>
              </w:rPr>
              <w:t>-</w:t>
            </w:r>
            <w:r>
              <w:rPr>
                <w:i/>
                <w:iCs/>
              </w:rPr>
              <w:t>05</w:t>
            </w:r>
            <w:r w:rsidRPr="00391BD4">
              <w:rPr>
                <w:i/>
                <w:iCs/>
              </w:rPr>
              <w:t>-01 1</w:t>
            </w:r>
            <w:r>
              <w:rPr>
                <w:i/>
                <w:iCs/>
              </w:rPr>
              <w:t>9</w:t>
            </w:r>
            <w:r w:rsidRPr="00391BD4">
              <w:rPr>
                <w:i/>
                <w:iCs/>
              </w:rPr>
              <w:t>.1</w:t>
            </w:r>
            <w:r>
              <w:rPr>
                <w:i/>
                <w:iCs/>
              </w:rPr>
              <w:t>.1</w:t>
            </w:r>
            <w:r w:rsidRPr="00391BD4">
              <w:rPr>
                <w:i/>
                <w:iCs/>
              </w:rPr>
              <w:t>. punktu</w:t>
            </w:r>
            <w:r w:rsidRPr="00CF1F0A">
              <w:t xml:space="preserve">). </w:t>
            </w:r>
            <w:r>
              <w:t xml:space="preserve">Tāpat </w:t>
            </w:r>
            <w:r w:rsidRPr="00CF1F0A">
              <w:t xml:space="preserve">Satversmes tiesa </w:t>
            </w:r>
            <w:r>
              <w:t xml:space="preserve">ir </w:t>
            </w:r>
            <w:r w:rsidRPr="00CF1F0A">
              <w:t>uzsv</w:t>
            </w:r>
            <w:r>
              <w:t>ērusi</w:t>
            </w:r>
            <w:r w:rsidRPr="00CF1F0A">
              <w:t xml:space="preserve">, ka labas likumdošanas princips negarantē konkrētu vienai personai vai personu grupai vēlamu rezultātu, tomēr tā ievērošana ikvienam dod pārliecību par to, ka attiecīgais jautājums ir demokrātiski </w:t>
            </w:r>
            <w:r w:rsidRPr="00CF1F0A">
              <w:lastRenderedPageBreak/>
              <w:t xml:space="preserve">apspriests, proti, dažādi viedokļi ir pausti un analizēti, un ka dažādu tiesību un likumīgo interešu sadursmes gadījumā labākais iespējamais līdzsvars ir meklēts, </w:t>
            </w:r>
            <w:r w:rsidRPr="009115A7">
              <w:rPr>
                <w:color w:val="auto"/>
              </w:rPr>
              <w:t>ievērojot </w:t>
            </w:r>
            <w:hyperlink r:id="rId7" w:tgtFrame="_blank" w:history="1">
              <w:r w:rsidRPr="009115A7">
                <w:rPr>
                  <w:rStyle w:val="Hyperlink"/>
                  <w:color w:val="auto"/>
                  <w:u w:val="none"/>
                </w:rPr>
                <w:t>Satversmē</w:t>
              </w:r>
            </w:hyperlink>
            <w:r w:rsidRPr="00CF1F0A">
              <w:t> ietvertās vērtības un vispārējos tiesību principus (</w:t>
            </w:r>
            <w:r w:rsidRPr="00CF1F0A">
              <w:rPr>
                <w:i/>
                <w:iCs/>
              </w:rPr>
              <w:t>sal. sk. Satversmes tiesas 2019. gada 23. aprīļa sprieduma lietā Nr. 2018-12-01 24.1. punktu</w:t>
            </w:r>
            <w:r>
              <w:rPr>
                <w:i/>
                <w:iCs/>
              </w:rPr>
              <w:t xml:space="preserve">; sk. arī </w:t>
            </w:r>
            <w:r w:rsidRPr="00391BD4">
              <w:rPr>
                <w:i/>
                <w:iCs/>
              </w:rPr>
              <w:t>Satversmes tiesas 20</w:t>
            </w:r>
            <w:r>
              <w:rPr>
                <w:i/>
                <w:iCs/>
              </w:rPr>
              <w:t>20</w:t>
            </w:r>
            <w:r w:rsidRPr="00391BD4">
              <w:rPr>
                <w:i/>
                <w:iCs/>
              </w:rPr>
              <w:t xml:space="preserve">. gada </w:t>
            </w:r>
            <w:r>
              <w:rPr>
                <w:i/>
                <w:iCs/>
              </w:rPr>
              <w:t>12. februāra</w:t>
            </w:r>
            <w:r w:rsidRPr="00391BD4">
              <w:rPr>
                <w:i/>
                <w:iCs/>
              </w:rPr>
              <w:t xml:space="preserve"> sprieduma lietā Nr. 20</w:t>
            </w:r>
            <w:r>
              <w:rPr>
                <w:i/>
                <w:iCs/>
              </w:rPr>
              <w:t>19</w:t>
            </w:r>
            <w:r w:rsidRPr="00391BD4">
              <w:rPr>
                <w:i/>
                <w:iCs/>
              </w:rPr>
              <w:t>-</w:t>
            </w:r>
            <w:r>
              <w:rPr>
                <w:i/>
                <w:iCs/>
              </w:rPr>
              <w:t>05</w:t>
            </w:r>
            <w:r w:rsidRPr="00391BD4">
              <w:rPr>
                <w:i/>
                <w:iCs/>
              </w:rPr>
              <w:t>-01 1</w:t>
            </w:r>
            <w:r>
              <w:rPr>
                <w:i/>
                <w:iCs/>
              </w:rPr>
              <w:t>9</w:t>
            </w:r>
            <w:r w:rsidRPr="00391BD4">
              <w:rPr>
                <w:i/>
                <w:iCs/>
              </w:rPr>
              <w:t>.1</w:t>
            </w:r>
            <w:r>
              <w:rPr>
                <w:i/>
                <w:iCs/>
              </w:rPr>
              <w:t>.1</w:t>
            </w:r>
            <w:r w:rsidRPr="00391BD4">
              <w:rPr>
                <w:i/>
                <w:iCs/>
              </w:rPr>
              <w:t>. punktu</w:t>
            </w:r>
            <w:r w:rsidRPr="00CF1F0A">
              <w:t>).</w:t>
            </w:r>
            <w:r>
              <w:t xml:space="preserve"> </w:t>
            </w:r>
          </w:p>
          <w:p w14:paraId="64C8B1A9" w14:textId="77777777" w:rsidR="00120BC8" w:rsidRDefault="00120BC8" w:rsidP="00120BC8">
            <w:r>
              <w:t xml:space="preserve">Ņemot vērā līdzšinējo finanšu sektora asociāciju aktīvo iesaisti gan  Informatīvā ziņojuma izstrādē, gan arī sniedzot atzinumus par likumprojektu </w:t>
            </w:r>
            <w:proofErr w:type="spellStart"/>
            <w:r>
              <w:t>pakotni</w:t>
            </w:r>
            <w:proofErr w:type="spellEnd"/>
            <w:r>
              <w:t xml:space="preserve"> TAP portālā,  kā arī, izvērtējot regulējuma iespējamo ietekmi uz personu ekonomiskajām interesēm, Finanšu ministrija, izvēloties sabiedriskās līdzdalības veidus, ir nodrošinājusi jēgpilnu, efektīvu, atklātu, ietverošu savlaicīgu un atbildīgu nozares iesaisti normatīvā regulējuma izstrādes procesā.</w:t>
            </w:r>
          </w:p>
          <w:p w14:paraId="025492F7" w14:textId="77777777" w:rsidR="00120BC8" w:rsidRDefault="00120BC8" w:rsidP="00120BC8"/>
          <w:p w14:paraId="07194AE6" w14:textId="1488B70D" w:rsidR="001A4125" w:rsidRPr="00120BC8" w:rsidRDefault="00120BC8" w:rsidP="001A4125">
            <w:r>
              <w:t xml:space="preserve">Tāpēc vēlreiz uzsverams, ka jau </w:t>
            </w:r>
            <w:r w:rsidRPr="005B6105">
              <w:t xml:space="preserve">Informatīvajā ziņojumā tika skaidri izklāstīts Latvijas Bankas piedāvātais uzraudzības modelis, kas nodrošinātu sistemātisku tirgus dalībnieku darbības izvērtējumu, savlaicīgu risku identificēšanu un mērķtiecīgu korektīvo pasākumu piemērošanu. </w:t>
            </w:r>
            <w:r>
              <w:t>Savukārt a</w:t>
            </w:r>
            <w:r w:rsidRPr="005B6105">
              <w:t xml:space="preserve">r </w:t>
            </w:r>
            <w:r>
              <w:t xml:space="preserve">13 </w:t>
            </w:r>
            <w:r w:rsidRPr="005B6105">
              <w:t>likumprojektu</w:t>
            </w:r>
            <w:r>
              <w:t xml:space="preserve"> </w:t>
            </w:r>
            <w:proofErr w:type="spellStart"/>
            <w:r>
              <w:t>pakotni</w:t>
            </w:r>
            <w:proofErr w:type="spellEnd"/>
            <w:r>
              <w:t xml:space="preserve"> </w:t>
            </w:r>
            <w:r w:rsidRPr="005B6105">
              <w:t xml:space="preserve"> tiek mainīta patērētāju kreditētāju licencēšanas un uzraudzības kompetentā iestāde, kā arī kompetentā iestāde patērētāju tiesību un interešu aizsardzībai finanšu </w:t>
            </w:r>
            <w:r w:rsidRPr="005B6105">
              <w:lastRenderedPageBreak/>
              <w:t>sektorā, vienlaikus saglabājot esošās licencēšanas un uzraudzības prasības. Likumprojekts un tā pavadošie grozījumi nesatur papildu uzraudzības prasības patērētāju kreditētājiem</w:t>
            </w:r>
            <w:r>
              <w:t>.</w:t>
            </w:r>
          </w:p>
          <w:p w14:paraId="72B33F2F" w14:textId="77777777" w:rsidR="001A4125" w:rsidRDefault="001A4125" w:rsidP="001A4125">
            <w:pPr>
              <w:rPr>
                <w:b/>
                <w:bCs/>
                <w:iCs/>
              </w:rPr>
            </w:pPr>
          </w:p>
          <w:p w14:paraId="3B12A34F" w14:textId="705B1EA3" w:rsidR="001A4125" w:rsidRDefault="001A4125" w:rsidP="001A4125">
            <w:pPr>
              <w:rPr>
                <w:b/>
                <w:bCs/>
                <w:iCs/>
              </w:rPr>
            </w:pPr>
            <w:r w:rsidRPr="001A4125">
              <w:rPr>
                <w:b/>
                <w:bCs/>
                <w:iCs/>
              </w:rPr>
              <w:t>II</w:t>
            </w:r>
            <w:r w:rsidRPr="001A4125">
              <w:rPr>
                <w:b/>
                <w:bCs/>
                <w:iCs/>
              </w:rPr>
              <w:t xml:space="preserve"> Par grozījumiem “Negodīgas komercprakses aizlieguma likumā”</w:t>
            </w:r>
          </w:p>
          <w:p w14:paraId="7FD5EE7C" w14:textId="77777777" w:rsidR="001A4125" w:rsidRPr="001A4125" w:rsidRDefault="001A4125" w:rsidP="001A4125">
            <w:pPr>
              <w:rPr>
                <w:b/>
                <w:bCs/>
                <w:iCs/>
              </w:rPr>
            </w:pPr>
          </w:p>
          <w:p w14:paraId="550FF207" w14:textId="77777777" w:rsidR="001A4125" w:rsidRDefault="001A4125" w:rsidP="001A4125">
            <w:r>
              <w:t xml:space="preserve">Grozījumu mērķis Negodīgas komercprakses aizlieguma likumā nav mainīt negodīgas komercprakses tiesisko regulējumu vai tā piemērošanas kritērijus pēc būtības, bet gan pārdalīt uzraudzības kompetenci finanšu pakalpojumu jomā vienotā uzraudzības sistēmā. Līdz ar to likumprojekta anotācijā uzraudzības pieeja tiek vērtēta funkcionāli un institucionāli, nevis atkārtoti analizēti </w:t>
            </w:r>
            <w:proofErr w:type="spellStart"/>
            <w:r>
              <w:t>materiāltiesiskie</w:t>
            </w:r>
            <w:proofErr w:type="spellEnd"/>
            <w:r>
              <w:t xml:space="preserve"> principi, kas jau ir nostiprināti likumā, balstīti ES tiesībās un nostiprināti tiesu praksē. Anotācijas uzdevums nav dublēt esošu </w:t>
            </w:r>
            <w:proofErr w:type="spellStart"/>
            <w:r>
              <w:t>materiāltiesisko</w:t>
            </w:r>
            <w:proofErr w:type="spellEnd"/>
            <w:r>
              <w:t xml:space="preserve"> regulējumu, bet pamatot, kāpēc uzraudzības īstenošana konkrētajā tirgū tiek koncentrēta Latvijas Bankā. Anotācijas uzdevums nav aizstāt nākotnes uzraudzības vadlīnijas.</w:t>
            </w:r>
          </w:p>
          <w:p w14:paraId="5FC4D8B3" w14:textId="31D1D53A" w:rsidR="001A4125" w:rsidRDefault="001A4125" w:rsidP="001A4125">
            <w:r>
              <w:t xml:space="preserve">Latvijas Bankas </w:t>
            </w:r>
            <w:r w:rsidR="00120BC8">
              <w:t>sankciju</w:t>
            </w:r>
            <w:r>
              <w:t xml:space="preserve"> piemērošanas principi ir nostiprināti likumā, kā arī skaidroti ieteikumos. </w:t>
            </w:r>
          </w:p>
          <w:p w14:paraId="1DBA22EC" w14:textId="77777777" w:rsidR="001A4125" w:rsidRDefault="001A4125" w:rsidP="001A4125">
            <w:r>
              <w:t>Saskaņā ar Latvijas Bankas likuma 62.panta trešo daļu, pieņemot lēmumu par sankciju piemērošanu personām, kuras pārkāpušas finanšu tirgus jomu regulējošos normatīvos aktus, Latvijas Banka ņem vērā:</w:t>
            </w:r>
          </w:p>
          <w:p w14:paraId="08DA6DB0" w14:textId="77777777" w:rsidR="001A4125" w:rsidRDefault="001A4125" w:rsidP="001A4125">
            <w:r>
              <w:lastRenderedPageBreak/>
              <w:t>1) pārkāpuma smagumu;</w:t>
            </w:r>
          </w:p>
          <w:p w14:paraId="3EAEA406" w14:textId="77777777" w:rsidR="001A4125" w:rsidRDefault="001A4125" w:rsidP="001A4125">
            <w:r>
              <w:t>2) pārkāpuma ilgumu;</w:t>
            </w:r>
          </w:p>
          <w:p w14:paraId="4CD73EAA" w14:textId="77777777" w:rsidR="001A4125" w:rsidRDefault="001A4125" w:rsidP="001A4125">
            <w:r>
              <w:t>3) personas vainojamības pakāpi;</w:t>
            </w:r>
          </w:p>
          <w:p w14:paraId="788BDA58" w14:textId="77777777" w:rsidR="001A4125" w:rsidRDefault="001A4125" w:rsidP="001A4125">
            <w:r>
              <w:t>4) pārkāpuma rezultātā personas gūtos ienākumus;</w:t>
            </w:r>
          </w:p>
          <w:p w14:paraId="284452F6" w14:textId="77777777" w:rsidR="001A4125" w:rsidRDefault="001A4125" w:rsidP="001A4125">
            <w:r>
              <w:t>5) pārkāpuma rezultātā radītā kaitējuma labprātīgu atlīdzināšanu;</w:t>
            </w:r>
          </w:p>
          <w:p w14:paraId="602F7DE8" w14:textId="77777777" w:rsidR="001A4125" w:rsidRDefault="001A4125" w:rsidP="001A4125">
            <w:r>
              <w:t>6) personas sadarbību pārkāpuma pārbaudē;</w:t>
            </w:r>
          </w:p>
          <w:p w14:paraId="18FE259E" w14:textId="77777777" w:rsidR="001A4125" w:rsidRDefault="001A4125" w:rsidP="001A4125">
            <w:r>
              <w:t>7) personas pieredzi finanšu tirgū;</w:t>
            </w:r>
          </w:p>
          <w:p w14:paraId="68F5ED4C" w14:textId="77777777" w:rsidR="001A4125" w:rsidRDefault="001A4125" w:rsidP="001A4125">
            <w:r>
              <w:t>8) personas finansiālo stāvokli;</w:t>
            </w:r>
          </w:p>
          <w:p w14:paraId="3D9D60B7" w14:textId="77777777" w:rsidR="001A4125" w:rsidRDefault="001A4125" w:rsidP="001A4125">
            <w:r>
              <w:t>9) personas iepriekš izdarītos pārkāpumus finanšu tirgū;</w:t>
            </w:r>
          </w:p>
          <w:p w14:paraId="599419BB" w14:textId="77777777" w:rsidR="001A4125" w:rsidRDefault="001A4125" w:rsidP="001A4125">
            <w:r>
              <w:t>10) pasākumus, kurus persona veikusi, lai novērstu pārkāpuma atkārtošanos.</w:t>
            </w:r>
          </w:p>
          <w:p w14:paraId="21ABFF31" w14:textId="77777777" w:rsidR="001A4125" w:rsidRDefault="001A4125" w:rsidP="001A4125"/>
          <w:p w14:paraId="5E69AFA0" w14:textId="77777777" w:rsidR="001A4125" w:rsidRDefault="001A4125" w:rsidP="001A4125">
            <w:r>
              <w:t>Latvijas Bankai jau ir spēkā esošs ietvars attiecībā uz sankciju piemērošanu – Latvijas Bankas padomes 2023.gada 26.janvāra ieteikumi Nr.403/3 “</w:t>
            </w:r>
            <w:r w:rsidRPr="00E9094F">
              <w:t>Ieteikumi sankciju noteikšanai personām, kuras pārkāpušas finanšu tirgus un tā dalībnieku darbību regulējošos normatīvos aktus</w:t>
            </w:r>
            <w:r>
              <w:t xml:space="preserve">”. </w:t>
            </w:r>
            <w:r w:rsidRPr="0050041F">
              <w:t xml:space="preserve">Ieteikumi sankciju noteikšanai nosaka principus, kritērijus un metodoloģiju, pēc kādiem finanšu tirgus uzraugs izvērtē pārkāpuma smagumu, vainas pakāpi, atbildīgās personas lomu un citus apstākļus, lai piemērotu samērīgas, individuāli pamatotas un preventīvas sankcijas, tostarp amatpersonām. Tie kalpo uzraudzības prakses caurspīdīgumam un </w:t>
            </w:r>
            <w:proofErr w:type="spellStart"/>
            <w:r w:rsidRPr="0050041F">
              <w:t>paredzamībai</w:t>
            </w:r>
            <w:proofErr w:type="spellEnd"/>
            <w:r w:rsidRPr="0050041F">
              <w:t>, vienlaikus neparedzot automātisku vai kolektīvu atbildību.</w:t>
            </w:r>
          </w:p>
          <w:p w14:paraId="251879D7" w14:textId="77777777" w:rsidR="00470F6D" w:rsidRDefault="00470F6D" w:rsidP="00762B06"/>
        </w:tc>
        <w:tc>
          <w:tcPr>
            <w:tcW w:w="2949" w:type="dxa"/>
            <w:shd w:val="clear" w:color="auto" w:fill="FFFFFF"/>
            <w:noWrap/>
            <w:tcMar>
              <w:top w:w="75" w:type="dxa"/>
              <w:left w:w="75" w:type="dxa"/>
              <w:bottom w:w="75" w:type="dxa"/>
              <w:right w:w="75" w:type="dxa"/>
            </w:tcMar>
          </w:tcPr>
          <w:p w14:paraId="3706FB68" w14:textId="77777777" w:rsidR="00470F6D" w:rsidRDefault="00470F6D" w:rsidP="00360B15">
            <w:pPr>
              <w:spacing w:after="240"/>
              <w:rPr>
                <w:b/>
              </w:rPr>
            </w:pPr>
            <w:r>
              <w:rPr>
                <w:b/>
              </w:rPr>
              <w:lastRenderedPageBreak/>
              <w:t>Likumprojekts (grozījumi)</w:t>
            </w:r>
          </w:p>
          <w:p w14:paraId="21E79781" w14:textId="5F36BCBC" w:rsidR="00470F6D" w:rsidRDefault="00470F6D" w:rsidP="00360B15">
            <w:r>
              <w:t>Grozījumi</w:t>
            </w:r>
            <w:r w:rsidR="00267DC9">
              <w:t xml:space="preserve"> </w:t>
            </w:r>
            <w:r w:rsidR="00267DC9" w:rsidRPr="00267DC9">
              <w:t>Negodīgas komercprakses aizlieguma</w:t>
            </w:r>
            <w:r>
              <w:t xml:space="preserve"> likumā</w:t>
            </w:r>
          </w:p>
        </w:tc>
      </w:tr>
    </w:tbl>
    <w:p w14:paraId="5B6EE59F" w14:textId="77777777" w:rsidR="00F04A11" w:rsidRDefault="00F04A11"/>
    <w:sectPr w:rsidR="00F04A11" w:rsidSect="00470F6D">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4312" w14:textId="77777777" w:rsidR="00A57228" w:rsidRDefault="00A57228" w:rsidP="00470F6D">
      <w:r>
        <w:separator/>
      </w:r>
    </w:p>
  </w:endnote>
  <w:endnote w:type="continuationSeparator" w:id="0">
    <w:p w14:paraId="19A75692" w14:textId="77777777" w:rsidR="00A57228" w:rsidRDefault="00A57228" w:rsidP="00470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D3F2" w14:textId="77777777" w:rsidR="00470F6D" w:rsidRDefault="00470F6D">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F418" w14:textId="77777777" w:rsidR="00470F6D" w:rsidRDefault="00470F6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D48FF" w14:textId="77777777" w:rsidR="00A57228" w:rsidRDefault="00A57228" w:rsidP="00470F6D">
      <w:r>
        <w:separator/>
      </w:r>
    </w:p>
  </w:footnote>
  <w:footnote w:type="continuationSeparator" w:id="0">
    <w:p w14:paraId="4EECDCAB" w14:textId="77777777" w:rsidR="00A57228" w:rsidRDefault="00A57228" w:rsidP="00470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7530" w14:textId="5F9D36F7" w:rsidR="00470F6D" w:rsidRDefault="00470F6D">
    <w:pPr>
      <w:pStyle w:val="Header"/>
      <w:contextualSpacing w:val="0"/>
    </w:pPr>
    <w:r>
      <w:t>Izziņa 26-TA-7</w:t>
    </w:r>
    <w:r w:rsidR="00267DC9">
      <w:t>36</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8A4EA" w14:textId="7F6CAD4C" w:rsidR="00470F6D" w:rsidRDefault="00470F6D">
    <w:pPr>
      <w:pStyle w:val="Header"/>
      <w:contextualSpacing w:val="0"/>
    </w:pPr>
    <w:r>
      <w:t>Izziņa 26-TA-7</w:t>
    </w:r>
    <w:r w:rsidR="00267DC9">
      <w:t>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039"/>
    <w:multiLevelType w:val="multilevel"/>
    <w:tmpl w:val="6A10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71FDE"/>
    <w:multiLevelType w:val="multilevel"/>
    <w:tmpl w:val="7024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A7AC7"/>
    <w:multiLevelType w:val="multilevel"/>
    <w:tmpl w:val="0E226A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A61C7F"/>
    <w:multiLevelType w:val="multilevel"/>
    <w:tmpl w:val="CAFEF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881C33"/>
    <w:multiLevelType w:val="multilevel"/>
    <w:tmpl w:val="274ACF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CA7FC9"/>
    <w:multiLevelType w:val="multilevel"/>
    <w:tmpl w:val="479A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051254"/>
    <w:multiLevelType w:val="multilevel"/>
    <w:tmpl w:val="B7FCD7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D0A229C"/>
    <w:multiLevelType w:val="multilevel"/>
    <w:tmpl w:val="DE28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910C54"/>
    <w:multiLevelType w:val="hybridMultilevel"/>
    <w:tmpl w:val="E140F272"/>
    <w:lvl w:ilvl="0" w:tplc="384C2D3C">
      <w:start w:val="2"/>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9" w15:restartNumberingAfterBreak="0">
    <w:nsid w:val="64F26D22"/>
    <w:multiLevelType w:val="multilevel"/>
    <w:tmpl w:val="E628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A422C"/>
    <w:multiLevelType w:val="multilevel"/>
    <w:tmpl w:val="A378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6501211">
    <w:abstractNumId w:val="4"/>
    <w:lvlOverride w:ilvl="0"/>
    <w:lvlOverride w:ilvl="1">
      <w:startOverride w:val="1"/>
    </w:lvlOverride>
    <w:lvlOverride w:ilvl="2"/>
    <w:lvlOverride w:ilvl="3"/>
    <w:lvlOverride w:ilvl="4"/>
    <w:lvlOverride w:ilvl="5"/>
    <w:lvlOverride w:ilvl="6"/>
    <w:lvlOverride w:ilvl="7"/>
    <w:lvlOverride w:ilvl="8"/>
  </w:num>
  <w:num w:numId="2" w16cid:durableId="26142435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8128628">
    <w:abstractNumId w:val="2"/>
  </w:num>
  <w:num w:numId="4" w16cid:durableId="746651876">
    <w:abstractNumId w:val="3"/>
  </w:num>
  <w:num w:numId="5" w16cid:durableId="117379229">
    <w:abstractNumId w:val="0"/>
  </w:num>
  <w:num w:numId="6" w16cid:durableId="61103446">
    <w:abstractNumId w:val="1"/>
  </w:num>
  <w:num w:numId="7" w16cid:durableId="156963027">
    <w:abstractNumId w:val="10"/>
  </w:num>
  <w:num w:numId="8" w16cid:durableId="78792941">
    <w:abstractNumId w:val="6"/>
  </w:num>
  <w:num w:numId="9" w16cid:durableId="1657610013">
    <w:abstractNumId w:val="5"/>
  </w:num>
  <w:num w:numId="10" w16cid:durableId="136609502">
    <w:abstractNumId w:val="9"/>
  </w:num>
  <w:num w:numId="11" w16cid:durableId="1462729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6D"/>
    <w:rsid w:val="00094BCE"/>
    <w:rsid w:val="00120BC8"/>
    <w:rsid w:val="001A4125"/>
    <w:rsid w:val="00267DC9"/>
    <w:rsid w:val="00293D94"/>
    <w:rsid w:val="00434067"/>
    <w:rsid w:val="00470F6D"/>
    <w:rsid w:val="00503413"/>
    <w:rsid w:val="00762B06"/>
    <w:rsid w:val="008E2782"/>
    <w:rsid w:val="00910B5B"/>
    <w:rsid w:val="009D178C"/>
    <w:rsid w:val="00A57228"/>
    <w:rsid w:val="00C15AE9"/>
    <w:rsid w:val="00E80773"/>
    <w:rsid w:val="00F04A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7686"/>
  <w15:chartTrackingRefBased/>
  <w15:docId w15:val="{287D1559-1776-4116-B01B-9337A77A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F6D"/>
    <w:pPr>
      <w:spacing w:after="0" w:line="240" w:lineRule="auto"/>
      <w:jc w:val="both"/>
    </w:pPr>
    <w:rPr>
      <w:rFonts w:ascii="Times New Roman" w:eastAsia="Times New Roman" w:hAnsi="Times New Roman" w:cs="Times New Roman"/>
      <w:color w:val="333333"/>
      <w:kern w:val="0"/>
      <w:szCs w:val="20"/>
      <w:lang w:eastAsia="lv-LV"/>
      <w14:ligatures w14:val="none"/>
    </w:rPr>
  </w:style>
  <w:style w:type="paragraph" w:styleId="Heading1">
    <w:name w:val="heading 1"/>
    <w:basedOn w:val="Normal"/>
    <w:next w:val="Normal"/>
    <w:link w:val="Heading1Char"/>
    <w:uiPriority w:val="9"/>
    <w:qFormat/>
    <w:rsid w:val="00470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0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0F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F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F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F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0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0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F6D"/>
    <w:rPr>
      <w:rFonts w:eastAsiaTheme="majorEastAsia" w:cstheme="majorBidi"/>
      <w:color w:val="272727" w:themeColor="text1" w:themeTint="D8"/>
    </w:rPr>
  </w:style>
  <w:style w:type="paragraph" w:styleId="Title">
    <w:name w:val="Title"/>
    <w:basedOn w:val="Normal"/>
    <w:next w:val="Normal"/>
    <w:link w:val="TitleChar"/>
    <w:uiPriority w:val="10"/>
    <w:qFormat/>
    <w:rsid w:val="00470F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F6D"/>
    <w:pPr>
      <w:spacing w:before="160"/>
      <w:jc w:val="center"/>
    </w:pPr>
    <w:rPr>
      <w:i/>
      <w:iCs/>
      <w:color w:val="404040" w:themeColor="text1" w:themeTint="BF"/>
    </w:rPr>
  </w:style>
  <w:style w:type="character" w:customStyle="1" w:styleId="QuoteChar">
    <w:name w:val="Quote Char"/>
    <w:basedOn w:val="DefaultParagraphFont"/>
    <w:link w:val="Quote"/>
    <w:uiPriority w:val="29"/>
    <w:rsid w:val="00470F6D"/>
    <w:rPr>
      <w:i/>
      <w:iCs/>
      <w:color w:val="404040" w:themeColor="text1" w:themeTint="BF"/>
    </w:rPr>
  </w:style>
  <w:style w:type="paragraph" w:styleId="ListParagraph">
    <w:name w:val="List Paragraph"/>
    <w:basedOn w:val="Normal"/>
    <w:uiPriority w:val="34"/>
    <w:qFormat/>
    <w:rsid w:val="00470F6D"/>
    <w:pPr>
      <w:ind w:left="720"/>
      <w:contextualSpacing/>
    </w:pPr>
  </w:style>
  <w:style w:type="character" w:styleId="IntenseEmphasis">
    <w:name w:val="Intense Emphasis"/>
    <w:basedOn w:val="DefaultParagraphFont"/>
    <w:uiPriority w:val="21"/>
    <w:qFormat/>
    <w:rsid w:val="00470F6D"/>
    <w:rPr>
      <w:i/>
      <w:iCs/>
      <w:color w:val="0F4761" w:themeColor="accent1" w:themeShade="BF"/>
    </w:rPr>
  </w:style>
  <w:style w:type="paragraph" w:styleId="IntenseQuote">
    <w:name w:val="Intense Quote"/>
    <w:basedOn w:val="Normal"/>
    <w:next w:val="Normal"/>
    <w:link w:val="IntenseQuoteChar"/>
    <w:uiPriority w:val="30"/>
    <w:qFormat/>
    <w:rsid w:val="00470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F6D"/>
    <w:rPr>
      <w:i/>
      <w:iCs/>
      <w:color w:val="0F4761" w:themeColor="accent1" w:themeShade="BF"/>
    </w:rPr>
  </w:style>
  <w:style w:type="character" w:styleId="IntenseReference">
    <w:name w:val="Intense Reference"/>
    <w:basedOn w:val="DefaultParagraphFont"/>
    <w:uiPriority w:val="32"/>
    <w:qFormat/>
    <w:rsid w:val="00470F6D"/>
    <w:rPr>
      <w:b/>
      <w:bCs/>
      <w:smallCaps/>
      <w:color w:val="0F4761" w:themeColor="accent1" w:themeShade="BF"/>
      <w:spacing w:val="5"/>
    </w:rPr>
  </w:style>
  <w:style w:type="paragraph" w:customStyle="1" w:styleId="paragraph">
    <w:name w:val="paragraph"/>
    <w:basedOn w:val="Normal"/>
    <w:next w:val="Normal"/>
    <w:rsid w:val="00470F6D"/>
    <w:pPr>
      <w:contextualSpacing/>
    </w:pPr>
  </w:style>
  <w:style w:type="paragraph" w:customStyle="1" w:styleId="titleparagraph">
    <w:name w:val="title_paragraph"/>
    <w:basedOn w:val="Normal"/>
    <w:next w:val="Normal"/>
    <w:rsid w:val="00470F6D"/>
    <w:pPr>
      <w:spacing w:after="280"/>
      <w:contextualSpacing/>
    </w:pPr>
    <w:rPr>
      <w:b/>
      <w:sz w:val="28"/>
    </w:rPr>
  </w:style>
  <w:style w:type="paragraph" w:styleId="Header">
    <w:name w:val="header"/>
    <w:basedOn w:val="Normal"/>
    <w:next w:val="Normal"/>
    <w:link w:val="HeaderChar"/>
    <w:rsid w:val="00470F6D"/>
    <w:pPr>
      <w:spacing w:after="280"/>
      <w:contextualSpacing/>
      <w:jc w:val="right"/>
    </w:pPr>
  </w:style>
  <w:style w:type="character" w:customStyle="1" w:styleId="HeaderChar">
    <w:name w:val="Header Char"/>
    <w:basedOn w:val="DefaultParagraphFont"/>
    <w:link w:val="Header"/>
    <w:rsid w:val="00470F6D"/>
    <w:rPr>
      <w:rFonts w:ascii="Times New Roman" w:eastAsia="Times New Roman" w:hAnsi="Times New Roman" w:cs="Times New Roman"/>
      <w:color w:val="333333"/>
      <w:kern w:val="0"/>
      <w:szCs w:val="20"/>
      <w:lang w:eastAsia="lv-LV"/>
      <w14:ligatures w14:val="none"/>
    </w:rPr>
  </w:style>
  <w:style w:type="paragraph" w:customStyle="1" w:styleId="signeddocumentparagraph">
    <w:name w:val="signed_document_paragraph"/>
    <w:basedOn w:val="Normal"/>
    <w:next w:val="Normal"/>
    <w:rsid w:val="00470F6D"/>
    <w:pPr>
      <w:contextualSpacing/>
      <w:jc w:val="right"/>
    </w:pPr>
  </w:style>
  <w:style w:type="paragraph" w:styleId="Footer">
    <w:name w:val="footer"/>
    <w:basedOn w:val="Normal"/>
    <w:link w:val="FooterChar"/>
    <w:uiPriority w:val="99"/>
    <w:unhideWhenUsed/>
    <w:rsid w:val="00470F6D"/>
    <w:pPr>
      <w:tabs>
        <w:tab w:val="center" w:pos="4153"/>
        <w:tab w:val="right" w:pos="8306"/>
      </w:tabs>
    </w:pPr>
  </w:style>
  <w:style w:type="character" w:customStyle="1" w:styleId="FooterChar">
    <w:name w:val="Footer Char"/>
    <w:basedOn w:val="DefaultParagraphFont"/>
    <w:link w:val="Footer"/>
    <w:uiPriority w:val="99"/>
    <w:rsid w:val="00470F6D"/>
    <w:rPr>
      <w:rFonts w:ascii="Times New Roman" w:eastAsia="Times New Roman" w:hAnsi="Times New Roman" w:cs="Times New Roman"/>
      <w:color w:val="333333"/>
      <w:kern w:val="0"/>
      <w:szCs w:val="20"/>
      <w:lang w:eastAsia="lv-LV"/>
      <w14:ligatures w14:val="none"/>
    </w:rPr>
  </w:style>
  <w:style w:type="character" w:styleId="Hyperlink">
    <w:name w:val="Hyperlink"/>
    <w:basedOn w:val="DefaultParagraphFont"/>
    <w:uiPriority w:val="99"/>
    <w:unhideWhenUsed/>
    <w:rsid w:val="00470F6D"/>
    <w:rPr>
      <w:color w:val="467886" w:themeColor="hyperlink"/>
      <w:u w:val="single"/>
    </w:rPr>
  </w:style>
  <w:style w:type="character" w:styleId="CommentReference">
    <w:name w:val="annotation reference"/>
    <w:basedOn w:val="DefaultParagraphFont"/>
    <w:uiPriority w:val="99"/>
    <w:semiHidden/>
    <w:unhideWhenUsed/>
    <w:rsid w:val="00470F6D"/>
    <w:rPr>
      <w:sz w:val="16"/>
      <w:szCs w:val="16"/>
    </w:rPr>
  </w:style>
  <w:style w:type="paragraph" w:styleId="CommentText">
    <w:name w:val="annotation text"/>
    <w:basedOn w:val="Normal"/>
    <w:link w:val="CommentTextChar"/>
    <w:uiPriority w:val="99"/>
    <w:unhideWhenUsed/>
    <w:rsid w:val="00470F6D"/>
    <w:rPr>
      <w:sz w:val="20"/>
    </w:rPr>
  </w:style>
  <w:style w:type="character" w:customStyle="1" w:styleId="CommentTextChar">
    <w:name w:val="Comment Text Char"/>
    <w:basedOn w:val="DefaultParagraphFont"/>
    <w:link w:val="CommentText"/>
    <w:uiPriority w:val="99"/>
    <w:rsid w:val="00470F6D"/>
    <w:rPr>
      <w:rFonts w:ascii="Times New Roman" w:eastAsia="Times New Roman" w:hAnsi="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470F6D"/>
    <w:rPr>
      <w:b/>
      <w:bCs/>
    </w:rPr>
  </w:style>
  <w:style w:type="character" w:customStyle="1" w:styleId="CommentSubjectChar">
    <w:name w:val="Comment Subject Char"/>
    <w:basedOn w:val="CommentTextChar"/>
    <w:link w:val="CommentSubject"/>
    <w:uiPriority w:val="99"/>
    <w:semiHidden/>
    <w:rsid w:val="00470F6D"/>
    <w:rPr>
      <w:rFonts w:ascii="Times New Roman" w:eastAsia="Times New Roman" w:hAnsi="Times New Roman" w:cs="Times New Roman"/>
      <w:b/>
      <w:bCs/>
      <w:color w:val="333333"/>
      <w:kern w:val="0"/>
      <w:sz w:val="20"/>
      <w:szCs w:val="20"/>
      <w:lang w:eastAsia="lv-LV"/>
      <w14:ligatures w14:val="none"/>
    </w:rPr>
  </w:style>
  <w:style w:type="character" w:styleId="Mention">
    <w:name w:val="Mention"/>
    <w:basedOn w:val="DefaultParagraphFont"/>
    <w:uiPriority w:val="99"/>
    <w:unhideWhenUsed/>
    <w:rsid w:val="00470F6D"/>
    <w:rPr>
      <w:color w:val="2B579A"/>
      <w:shd w:val="clear" w:color="auto" w:fill="E1DFDD"/>
    </w:rPr>
  </w:style>
  <w:style w:type="character" w:styleId="UnresolvedMention">
    <w:name w:val="Unresolved Mention"/>
    <w:basedOn w:val="DefaultParagraphFont"/>
    <w:uiPriority w:val="99"/>
    <w:semiHidden/>
    <w:unhideWhenUsed/>
    <w:rsid w:val="00470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kumi.lv/ta/id/57980-latvijas-republikas-satversm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11</Pages>
  <Words>11391</Words>
  <Characters>6494</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Jenerte</dc:creator>
  <cp:keywords/>
  <dc:description/>
  <cp:lastModifiedBy>Santa</cp:lastModifiedBy>
  <cp:revision>5</cp:revision>
  <dcterms:created xsi:type="dcterms:W3CDTF">2026-04-24T11:04:00Z</dcterms:created>
  <dcterms:modified xsi:type="dcterms:W3CDTF">2026-04-28T10:46:00Z</dcterms:modified>
</cp:coreProperties>
</file>