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25-TA-510: Noteikumu projekts (Grozījumi)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Grozījumi Ministru kabineta 2008. gada 9. decembra noteikumos Nr. 1013 "Kārtība, kādā dzīvokļa īpašnieks daudzdzīvokļu dzīvojamā mājā norēķinās par pakalpojumiem, kas saistīti ar dzīvokļa īpašuma lietošanu"</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center"/>
            <w:noWrap w:val="true"/>
            <w:gridSpan w:val="5"/>
            <w:tcMar>
              <w:top w:w="75.0" w:type="dxa"/>
              <w:left w:w="75.0" w:type="dxa"/>
              <w:bottom w:w="75.0" w:type="dxa"/>
              <w:right w:w="75.0" w:type="dxa"/>
            </w:tcMar>
            <w:tcBorders>
              <w:left w:val="nil"/>
              <w:right w:val="nil"/>
            </w:tcBorders>
          </w:tcPr>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1.0 Likumi.lv (23.04.2020.)</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Pamatojums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(KP - 06.05.2025.)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KP norāda, ka Patērētāju tiesību aizsardzības centra (turpmāk – PTAC) veiktā pētījuma ietvaros identificētās problēmas tās vērtējumā iespējams novērst arī uzlabojot kontroles mehānismus par laboratorijām, kas ir tiesīgas veikt ūdens patēriņa skaitītāju verifikāciju, izstrādājot kritērijus skaitītāju atkārtotai verifikācijai, proti, ierobežojot reižu skaitu, cik lietots skaitītājs var tikt atkārtoti verificēts vai ieviešot ūdens patēriņa skaitītāja derīguma termiņu, ņemot vērā ražošanas gadu, u.c. iespējamie risinājumi.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KP arī norāda, ka nav veikts izvērtējums, cik iespējamais ekonomiskais ieguvums (nav izmaksas par skaitītāju verifikāciju, samazinās ūdens zudumi) ir proporcionāls ar izdevumiem, kas radīsies, pārejot uz attālināti nolasāmiem skaitītājiem, ņemot vērā to uzstādīšanas izmaksas, skaitītāju veidu, ja tiek veikta arī skaitītāja nomaiņa (ultraskaņas ūdens patēriņa skaitītājs ir būtiski dārgāks par mehānisko ūdens patēriņa skaitītāju), kā arī izmaksām, kas būs par skaitītāja rādījumu attālināto nolasīšanu. Līdz ar to KP aicina EM veikt un iekļaut anotācijā ekonomisko izvērtējumu, kā arī anotācijā iekļaut analīzi, vai konkrētajā situācijā Noteikumu projekta mērķi nevar sasniegt ar citiem, mazāk konkurenci ierobežojošiem līdzekļiem.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Pārrunāts 13.05.2025. sanāksmē starp Ekonomikas ministrijas un Konkurences padomes pārstāvjiem, vienlaikus ietverti nepieciešamie papildinošie skaidrojumi grozījumu projekta anotācijā.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ar Konkurences padomes 26.05.2025 atzinumu.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Pamatojums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(KP - 06.05.2025.)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KP vērtējumā Noteikumu projekta plānotās izmaiņas – tas, ka turpmāk dzīvokļu īpašnieku kopībām būs jālemj par vienotu skaitītāju uzstādīšanu (nevis katrs dzīvokļu īpašnieks kā tas ir noteikts šobrīd spēkā esošajos noteikumos) sekmēs, ka dzīvokļu īpašnieku kopībām būs būtiski iegūt kvalitatīvi veiktas tirgus izpētes un konkurētspējīgus piedāvājumus. KP norāda, ka nav saprotams, vai ir veikts izvērtējums vai sagaidāms, ka māju apsaimniekotāji vai pašas dzīvokļu īpašnieku kopības būs spējīgas tādus iegūt.</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KP norāda, ka no anotācijā minētā, ka “izvēloties skaitītājus, ņem vērā pārvaldnieka sagatavoto ekonomisko pamatojumu par iespēju skaitītājus aprīkot ar attālinātās nolasīšanas funkciju. Ekonomiskā pamatojuma izvērtējumu  pārvaldnieks veic ievērojot, Ministru kabineta 2020. gada 10. decembra noteikumos Nr. 730 "Ekspluatējamu ēku energoefektivitātes minimālās prasības"” nav secināms kā EM veikusi pārbaudi par namu apsaimniekotāju/ pārvaldnieku spēju šādus ekonomiskos pamatojumus sagatavot.</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KP arī norāda, ka tās vērtējumā Noteikumu projekts būtiski  ietekmē privātpersonu brīvību pašiem izvēlēties piemērotāko vienotas ūdens patēriņa uzskaites sistēmu, kas var iekļaut arī verifikācijas izmantošanu skaitītājiem. Ņemot vērā minēto, KP lūdz pamatot izvēlētā risinājuma atbilstību samērīguma principam.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Pārrunāts 13.05.2025. sanāksmē starp Ekonomikas ministrijas un Konkurences padomes pārstāvjiem, vienlaikus ietverti nepieciešamie papildinošie skaidrojumi grozījumu projekta anotācijā.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Konkurences padomes 23.05.2025. atzinumu papildināta anotācija: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"Dzīvokļu īpašnieku kopība nosaka kārtību vienotas ūdens patēriņa uzskaites sistēmai (tai skaitā prasības ūdens patēriņa skaitītāju tehniskajiem parametriem, papildaprīkojumam un uzstādīšanai), kādā pārvaldnieks vai cita pilnvarotā persona nodrošina ūdens patēriņa skaitītāju uzstādīšanu, nomaiņu un to pārbaudi. Minētā kārtība ir vienota visā dzīvojamā mājā."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ar Konkurences padomes 26.05.2025 atzinumu.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 Sabiedrības grupas, kuras tiesiskais regulējums ietekmē, vai varētu ietekmēt</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(KP - 06.05.2025.)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KP norāda, ka pastāv augsta varbūtība, ka lielāki māju apsaimniekotāji varēs iegūt konkurētspējīgāku cenu piedāvājumu salīdzinājumā ar mazākiem (iegādājoties skaitītājus lielākā apjomā), kas var būtiski ietekmēt gan dzīvokļu īpašnieku kopību izmaksas, piemēram, mazāk attīstītās lauku teritorijās tās var būt būtiski augstākas salīdzinājumā ar lielām pilsētām.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Pārrunāts 13.05.2025. sanāksmē starp Ekonomikas ministrijas un Konkurences padomes pārstāvjiem.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ar Konkurences padomes 26.05.2025 atzinumu.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 Sabiedrības grupas, kuras tiesiskais regulējums ietekmē, vai varētu ietekmēt</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 Tiesiskā regulējuma ietekme uz tautsaimniecību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(KP - 06.05.2025.)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KP norāda, ka nav pilnvērtīgi izanalizēta ietekme uz tirgu, t.sk. pašreizējiem tirgus dalībniekiem – juridiskām personām, kas veic skaitītāju uzstādīšanu, juridiskām personām, kas veica skaitītāju verifikāciju.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Pārrunāts 13.05.2025. sanāksmē starp Ekonomikas ministrijas un Konkurences padomes pārstāvjiem. Skatīt grozījumu projekta anotāciju Ministru kabineta 2024. gada 14. maija noteikumiem Nr. 289 "Noteikumi par valsts metroloģiskajai kontrolei pakļauto mērīšanas līdzekļu sarakstu" (25-TA-532)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ar Konkurences padomes 26.05.2025 atzinumu.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 Tiesiskā regulējuma ietekme uz tautsaimniecību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 Administratīvā sloga novērtējums fiziskām personām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(KP - 06.05.2025.)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KP norāda, ka nav pilnvērtīgi izanalizētas izmaksas un to ietekme uz tirgu, t.sk. administratīvā sloga novērtējums fiziskām personām.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KP vērtējumā Noteikumu projekta plānotās izmaiņas – tas, ka turpmāk dzīvokļu īpašnieku kopībām būs jālemj par vienotu skaitītāju uzstādīšanu (nevis katrs dzīvokļu īpašnieks kā tas ir noteikts šobrīd spēkā esošajos noteikumos) sekmēs, ka dzīvokļu īpašnieku kopībām būs būtiski iegūt kvalitatīvi veiktas tirgus izpētes un konkurētspējīgus piedāvājumus.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KP norāda, ka nav saprotams, vai ir veikts izvērtējums vai sagaidāms, ka māju apsaimniekotāji vai pašas dzīvokļu īpašnieku kopības būs spējīgas tādus iegūt. KP arī norāda, ka pastāv augsta varbūtība, ka lielāki māju apsaimniekotāji varēs iegūt konkurētspējīgāku cenu piedāvājumu salīdzinājumā ar mazākiem (iegādājoties skaitītājus lielākā apjomā), kas var būtiski ietekmēt gan dzīvokļu īpašnieku kopību izmaksas, piemēram, mazāk attīstītās lauku teritorijās tās var būt būtiski augstākas salīdzinājumā ar lielām pilsētām.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KP arī norāda, ka nepieciešams veikt izvērtējumu kā plānotās izmaiņas ietekmēs dzīvokļu īpašnieku kopību iespēju veikt apsaimniekotāja nomaiņu, proti, ņemot vērā izstrādātos tehnoloģiskos risinājumus skaitītāju attālinātai nolasīšanai. KP norāda, ka ir būtiski, lai netiktu ierobežota konkurence ne tikai skaitītāju uzstādīšanas pakalpojumā, bet arī skaitītāju nolasīšanas pakalpojumā. KP arī norāda, ka nav pieļaujama situācija, ka izvēloties nomainīt apsaimniekotāju dzīvokļu īpašnieku kopības var būt spiestas lemt par jaunu attālināti nolasāmo skaitītāju iegādi un uzstādīšanu.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Pārrunāts 13.05.2025. sanāksmē starp Ekonomikas ministrijas un Konkurences padomes pārstāvjiem. Skatīt grozījumu projekta anotāciju Ministru kabineta 2024. gada 14. maija noteikumiem Nr. 289 "Noteikumi par valsts metroloģiskajai kontrolei pakļauto mērīšanas līdzekļu sarakstu" (25-TA-532).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attiecībā par dzīvokļu īpašnieku kopības brīvību mainīt operatoru attālināti nolasāmo skaitītāju datu savākšanai, grozījumu projekts papildināts ar piebildi par atvērta tipa datu pārraides iespējām, plašāks skaidrojums ietverts anotācijā: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"27. Dzīvokļa īpašnieks pārvaldnieka noteiktajā kārtībā un termiņā katru mēnesi nolasa ūdens patēriņa skaitītāja rādījumu un nodod to pārvaldniekam aprēķinu veikšanai. Skaitītāja rādījumu nolasa pārvaldnieks vai cita dzīvokļu īpašnieku kopības pilnvarota persona, ja dzīvojamā mājā ir ierīkota attālinātā rādījumu nolasīšanas sistēma (ar atvērta tipa datu pārraides iespējām) vai piekļuve ūdens patēriņa skaitītājiem ir no dzīvojamās mājas koplietošanas telpām.";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"40. Jautājumu par vienotas ūdens patēriņa uzskaites sistēmas ieviešanu izlemj līdz 2027.gada 1.janvārim, ņemot vērā pārvaldnieka veikto izvērtējumu par ekonomisko pamatotību attālināti nolasāmo ūdens patēriņa skaitītāju uzstādīšanai, kas ietver atvērta tipa datu attālinātu nolasīšanu."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ar Konkurences padomes 26.05.2025 atzinumu.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 Administratīvā sloga novērtējums fiziskām personām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 Atbilstības izmaksu novērtējums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(KP - 06.05.2025.)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KP norāda, ka šobrīd publiski pieejama informācija par SIA “Rīgas namu pārvaldnieks”  (turpmāk – RNP) rīkoto iepirkumu “Ultraskaņas ūdens patēriņa skaitītāju ar attālinātās datu un radījumu nolasīšanas iespēju iegāde, uzstādīšana un iestatīšana (Nr. SIA RNP 2025/9)” (turpmāk – Iepirkums), kur var secināt, ka RNP aptuveni plāno iepirkt vienu attālināti nolasāmo ūdens skaitītāju par ~80,00 EUR, kas KP vērtējumā ir būtiskas izmaksas, ievērojot līdzšinējās skaitītāju izmaksas. KP vērtējumā RNP Iepirkumu var vērtēt kā indikatīvu rādītāju tirgus tendencēm. Ņemot vērā minēto, KP norāda, ka ir būtiski, lai EM piedāvātu dažādus iespējamos grozījumu modeļus, tostarp pie izmaksām iekļautu arī izmaksas kas radīsies par datu nolasīšanu. KP aicina salīdzinoši izvērtēt izmaksas par skaitītāju verifikāciju ar izmaksām par skaitītāju attālinātu nolasīšanu.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Pārrunāts 13.05.2025. sanāksmē starp Ekonomikas ministrijas un Konkurences padomes pārstāvjiem, vienlaikus ietverti nepieciešamie papildinošie skaidrojumi grozījumu projekta anotācijā.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ar Konkurences padomes 26.05.2025 atzinumu.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 Atbilstības izmaksu novērtējums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Projekta izstrādē iesaistītās institūcijas un sabiedrības līdzdalības process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(KP - 06.05.2025.)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Noteikumu projekts paredz būtiskas izmaiņas, KP aicina EM iegūt un izvērtēt komersantu un ietekmēto tirgus dalībnieku viedokli par grozījumu nepieciešamību un to būtisko ietekmi uz konkurenci.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Pārrunāts 13.05.2025. sanāksmē starp Ekonomikas ministrijas un Konkurences padomes pārstāvjiem. Skatīt grozījumu projekta anotāciju Ministru kabineta 2024. gada 14. maija noteikumiem Nr. 289 "Noteikumi par valsts metroloģiskajai kontrolei pakļauto mērīšanas līdzekļu sarakstu" (25-TA-532)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ar Konkurences padomes 26.05.2025 atzinumu.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Projekta izstrādē iesaistītās institūcijas un sabiedrības līdzdalības process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Kārtība, kādā dzīvokļa īpašnieks daudzdzīvokļu dzīvojamā mājā norēķinās par pakalpojumiem, kas saistīti ar dzīvokļa īpašuma lietošanu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(KP - 06.05.2025.)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Konkurences padome (turpmāk – KP)  ir izvērtējusi Ekonomikas ministrijas (turpmāk – EM) sagatavotos grozījumus Ministru kabineta 2008. gada 9. decembra noteikumos Nr. 1013 "Kārtība, kādā dzīvokļa īpašnieks daudzdzīvokļu dzīvojamā mājā norēķinās par pakalpojumiem, kas saistīti ar dzīvokļa īpašuma lietošanu" (turpmāk – Noteikumu projekts) un iebilst pret Noteikumu projektu tālāku virzību, jo Noteikumu projekta anotācijā nav veikts pietiekams izvērtējums par Noteikumu projekta ietekmi uz konkurenci, kā arī  ekonomisko ieguvumu un to samērīgu ietekmi uz tirgu.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Pārrunāts 13.05.2025. sanāksmē starp Ekonomikas ministrijas un Konkurences padomes pārstāvjiem. Skatīt grozījumu projekta anotāciju Ministru kabineta 2024. gada 14. maija noteikumiem Nr. 289 "Noteikumi par valsts metroloģiskajai kontrolei pakļauto mērīšanas līdzekļu sarakstu" (25-TA-532)</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ar Konkurences padomes 26.05.2025 atzinumu.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Kārtība, kādā dzīvokļa īpašnieks daudzdzīvokļu dzīvojamā mājā norēķinās par pakalpojumiem, kas saistīti ar dzīvokļa īpašuma lietošanu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 Ūdens patēriņu uzskaita: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(KP - 06.05.2025.)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KP iebilst pret līdzšinējā 14.punkta plānoto redakciju un 14.</w:t>
            </w:r>
            <w:r w:rsidR="00000000" w:rsidRPr="00000000" w:rsidDel="00000000">
              <w:rPr>
                <w:vertAlign w:val="superscript"/>
                <w:rtl w:val="0"/>
              </w:rPr>
              <w:t xml:space="preserve">1</w:t>
            </w:r>
            <w:r w:rsidR="00000000" w:rsidRPr="00000000" w:rsidDel="00000000">
              <w:rPr>
                <w:rtl w:val="0"/>
              </w:rPr>
              <w:t xml:space="preserve"> punkta, 14.</w:t>
            </w:r>
            <w:r w:rsidR="00000000" w:rsidRPr="00000000" w:rsidDel="00000000">
              <w:rPr>
                <w:vertAlign w:val="superscript"/>
                <w:rtl w:val="0"/>
              </w:rPr>
              <w:t xml:space="preserve">2</w:t>
            </w:r>
            <w:r w:rsidR="00000000" w:rsidRPr="00000000" w:rsidDel="00000000">
              <w:rPr>
                <w:rtl w:val="0"/>
              </w:rPr>
              <w:t xml:space="preserve"> punkta, 14.</w:t>
            </w:r>
            <w:r w:rsidR="00000000" w:rsidRPr="00000000" w:rsidDel="00000000">
              <w:rPr>
                <w:vertAlign w:val="superscript"/>
                <w:rtl w:val="0"/>
              </w:rPr>
              <w:t xml:space="preserve">3</w:t>
            </w:r>
            <w:r w:rsidR="00000000" w:rsidRPr="00000000" w:rsidDel="00000000">
              <w:rPr>
                <w:rtl w:val="0"/>
              </w:rPr>
              <w:t xml:space="preserve"> punkta svītrošanu, 14.</w:t>
            </w:r>
            <w:r w:rsidR="00000000" w:rsidRPr="00000000" w:rsidDel="00000000">
              <w:rPr>
                <w:vertAlign w:val="superscript"/>
                <w:rtl w:val="0"/>
              </w:rPr>
              <w:t xml:space="preserve">4</w:t>
            </w:r>
            <w:r w:rsidR="00000000" w:rsidRPr="00000000" w:rsidDel="00000000">
              <w:rPr>
                <w:rtl w:val="0"/>
              </w:rPr>
              <w:t xml:space="preserve"> punkta plānoto redakciju, jo paredzētās izmaiņas kopumā nepamatoti  būtiski  ietekmē privātpersonu - dzīvojamās mājas īpašnieku  brīvību pašiem izvēlēties piemērotāko ūdens patēriņa uzskaites sistēmu, kas, t.sk. var iekļaut arī verifikācijas izmantošanu skaitītājiem. Neredzam pamatu, kāpēc līdzšinējā sistēma nevar pastāvēt paralēli vienotajai ūdens uzskaites sistēmai, ņemot vērā, ka Noteikumu projekts paredz ierobežot ūdens patēriņa skaitītāja lietošanas ilgumu.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ar kuru tiek noteikta vienota ūdens patēriņa skaitītāju uzskaites sistēma visiem mājas īpašniekiem kopā, ilgtermiņā negatīvi varētu ietekmēt patērētāju izvēles brīvību. Dzīvokļu īpašnieki pirmšķietami būs atkarīgai no vienas sistēmas un pakalpojuma sniedzēja darbībām, t.sk. nosakot pakalpojuma cenas un nodrošinot pakalpojuma kvalitāti. Vienlaikus tiek ierobežotas arī patērētāja iespējas pārslēgties uz citu pakalpojumu sniedzēju pakalpojumiem, jo vienota attālinātā ūdens uzskaites sistēma šādu iespēju neparedz.</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Tāpat plānotie grozījumi pirmšķietami varētu veicināt vienas noteiktas sistēmas ieviešanu visās konkrētā pārvaldnieka mājās, lai nodrošinātu saskaņotību un efektivitāti (kas paredzama, piemēram, lai optimizētu resursus). Šādā gadījumā konkurence starp ūdens patēriņa uzskaites sistēmām var kļūt ierobežota vai izslēgta, jo viena konkrēta sistēma būs viena apsaimniekotēja ietvaros. Minētais kopumā var samazināt konkurenci tirgū.</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KP nenoliedz nepieciešamību ieviest attālinātu ūdens uzskaites sistēmu, taču šāda mērķa sasniegšanai ir jābūt samērīgai attiecībā pret tirgus dalībniekiem, neierobežojot konkurenci. Līdz ar to KP neredz pamatu līdzšinējās sistēmas pastāvēšanai paralēli vienotajai ūdens patēriņa sistēmai, paredzot ūdens patēriņa skaitītāja lietošanas ilguma ierobežošanu. Tādējādi nodrošinot patērētāju brīvību izvēlēties sev tīkamāko ūdens patēriņa skaitītāju sistēmu.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Pārrunāts 13.05.2025. sanāksmē starp Ekonomikas ministrijas un Konkurences padomes pārstāvjiem, vienlaikus ietverti nepieciešamie papildinošie skaidrojumi grozījumu projekta anotācijā.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Konkurences padome ar 23.05.2025. atzinumu aicina grozījumos un anotācijās nepārprotami un skaidri iestrādāt, norādot, ka dzīvojamās mājas īpašnieku kopība arī pēc 10g termiņa varēs lemt par iespēju saglabāt esošos mehāniskos skaitītājus un neuzstādīt attālināti nolasāmos/ ultraskaņas skaitītājus. KP norāda, ka anotācijā un grozījumos ir pievienojusi komentāru ar tekstu, kuru aicina EM ieintegrēt kopējā tekstā vai nu pirms vai pēc norādes par 10 gadu periodu.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Dzīvojamās mājas īpasnieku kopība (īpašnieki) nosaka kārtību vienotas ūdens patēriņa uzskaites sistēmas izveidei (tai skaitā prasības ūdens patēriņa skaitītāju tehniskajiem parametriem, papildaprīkojumam un uzstādīšanai), kādā dzīvojamās mājas īpašnieks, pārvaldnieks vai cita pilnvarotā persona nodrošina ūdens patēriņa skaitītāju uzstādīšanu, nomaiņu un to pārbaudi.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ar Konkurences padomes 26.05.2025 atzinumu.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 "14.1 Dzīvokļu īpašnieku kopība nosaka kārtību vienotas ūdens patēriņa uzskaites sistēmai (tai skaitā prasības ūdens patēriņa skaitītāju tehniskajiem parametriem, papildaprīkojumam un uzstādīšanai), kādā pārvaldnieks vai cita pilnvarotā persona nodrošina ūdens patēriņa skaitītāju uzstādīšanu, nomaiņu un to pārbaudi. Minētā kārtība ir vienota visā dzīvojamā mājā."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Grozījumi Ministru kabineta 2008. gada 9. decembra noteikumos Nr. 1013 "Kārtība, kādā dzīvokļa īpašnieks daudzdzīvokļu dzīvojamā mājā norēķinās par pakalpojumiem, kas saistīti ar dzīvokļa īpašuma lietošanu"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(IEM - 16.04.2025.)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Ekonomikas ministrija ar 2025. gada 24. februāra vēstuli Nr. 3.3-6/2025/1274N sniedza atbildi uz iesniegumu saistībā arī ar Ministru kabineta 2008. gada 9. decembra noteikumu Nr. 1013 "Kārtība, kādā dzīvokļa īpašnieks daudzdzīvokļu dzīvojamā mājā norēķinās par pakalpojumiem, kas saistīti ar dzīvokļa īpašuma lietošanu" 17.4.1. apakšpunktā noteikto, ka pārrēķins par iepriekšējiem norēķinu periodiem netiek veikts, ja ziņas par deklarēto personu ir anulētas. Minētajā vēstulē Ekonomikas ministrija informēja, ka, ņemot vērā iesniegumā atspoguļotos faktiskos apstākļus, tiek saskatīta nepieciešamība, piesaistot plašāku iesaistīto subjektu loku, veikt izvērtējumu un nepieciešamības gadījumā izdarīt grozījumu šobrīd spēkā esošajā regulējumā, kas neparedz iespēju veikt pārrēķinu par iepriekšējiem norēķinu periodiem gadījumā, kad ziņas par deklarēto personu ir anulētas.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lūdzam projekta sākotnējās ietekmes novērtējuma ziņojumā (anotācijā) vai izziņā iekļaut informāciju par to, kāpēc nav izdarāms attiecīgs grozījums arī minēto noteikumu 17.4.1. apakšpunktā.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Ekonomikas ministrija ir izskatījusi iespēju noteikt, ka pārrēķinu var veikt par iepriekšējiem norēķinu periodiem arī gadījumā, kad ziņas par deklarēto personu ir anulētas. Vienlaikus Ekonomikas ministrija ir secinājusi, ka notiek aktīvs darbs pie dzīvojamo māju pārvaldīšanas tiesību pārņemšanas saskaņā ar Valsts un pašvaldību dzīvojamo māju privatizācijas pabeigšanas likuma 11.pantu, kā rezultātā paredzams, ka Ministru kabineta 2008. gada 9. decembra noteikumi Nr. 1013 "Kārtība, kādā dzīvokļa īpašnieks daudzdzīvokļu dzīvojamā mājā norēķinās par pakalpojumiem, kas saistīti ar dzīvokļa īpašuma lietošanu" nebūs piemērojami ar nākamo gadu. Attiecīgi šobrīd neredzam lietderību izdarīt ierosinātos grozījumus šajos noteikumos. Savukārt turpmāk piemērojamie noteikumi nesatur šādu aizliegumu veikt pārrēķinu.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- 28.04.2025.)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aizpildīt korekti anotācijas 3.sadaļu - ja projektam nav ietekme uz valsts budžetu un pašvaldību budžetiem, tad jāatzīmē, ka projekts šo jomu neskar.</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Atzīmēts, ka projekts šo jomu neskar.</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4.1. Saistītie tiesību aktu projekti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- 28.04.2025.)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aizpildīt korekti anotācijas 4.1.sadaļu, norādot nepieciešamo saistīto tiesību aktu projektu grozījumu pamatojumu un aprakstu.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Veikti nepieciešamie papildinājumi.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4.1. Saistītie tiesību aktu projekti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4.1. Saistītie tiesību aktu projekti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- 16.04.2025.)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anotācijas 4.1. sadaļu ar attiecīgo noteikumu izstrādes pamatojumu un to satura galvenajiem virzieniem.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Veikti nepieciešamie papildinājumi.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4.1. Saistītie tiesību aktu projekti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Tiesību akta projekta izpildes nodrošināšana un tās ietekme uz institūcijām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- 16.04.2025.)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aizpildīt anotācijas 7. sadaļu.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u w:val="single"/>
                <w:rtl w:val="0"/>
              </w:rPr>
              <w:t xml:space="preserve">Pamatojums:</w:t>
            </w:r>
            <w:r w:rsidR="00000000" w:rsidRPr="00000000" w:rsidDel="00000000">
              <w:rPr>
                <w:rtl w:val="0"/>
              </w:rPr>
              <w:t xml:space="preserve"> Ministru kabineta 2021. gada 7. septembra noteikumu Nr.617 "Tiesību akta projekta sākotnējās ietekmes izvērtēšanas kārtība" 15. punkts, kas noteic, ka </w:t>
            </w:r>
            <w:r w:rsidR="00000000" w:rsidRPr="00000000" w:rsidDel="00000000">
              <w:rPr>
                <w:u w:val="single"/>
                <w:rtl w:val="0"/>
              </w:rPr>
              <w:t xml:space="preserve">visiem projektiem</w:t>
            </w:r>
            <w:r w:rsidR="00000000" w:rsidRPr="00000000" w:rsidDel="00000000">
              <w:rPr>
                <w:rtl w:val="0"/>
              </w:rPr>
              <w:t xml:space="preserve"> aizpilda šo noteikumu 14.7. apakšpunktā minēto anotācijas sadaļu (projekta izpildes nodrošināšana un tās ietekme uz institūcijām).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Aizpildīts.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Tiesību akta projekta izpildes nodrošināšana un tās ietekme uz institūcijām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r w:rsidR="00000000" w:rsidRPr="00000000" w:rsidDel="00000000">
              <w:rPr>
                <w:vertAlign w:val="superscript"/>
                <w:rtl w:val="0"/>
              </w:rPr>
              <w:t xml:space="preserve">1</w:t>
            </w:r>
            <w:r w:rsidR="00000000" w:rsidRPr="00000000" w:rsidDel="00000000">
              <w:rPr>
                <w:rtl w:val="0"/>
              </w:rPr>
              <w:t xml:space="preserve"> Saskaņā ar likuma "Par valsts un pašvaldību dzīvojamo māju privatizāciju" 50. panta trešās daļas 2. punktu dzīvokļu īpašnieku kopība, pieņemot attiecīgu lēmumu, ir tiesīga mainīt gan šajos noteikumos, gan pārvaldnieka noteiktos kritērijus apmaksājamās daļas aprēķināšanai par dzīvojamās mājas uzturēšanai nepieciešamo pakalpojumu (piemēram, šo noteikumu 17.4., 17.5., 17.5.</w:t>
            </w:r>
            <w:r w:rsidR="00000000" w:rsidRPr="00000000" w:rsidDel="00000000">
              <w:rPr>
                <w:vertAlign w:val="superscript"/>
                <w:rtl w:val="0"/>
              </w:rPr>
              <w:t xml:space="preserve">1</w:t>
            </w:r>
            <w:r w:rsidR="00000000" w:rsidRPr="00000000" w:rsidDel="00000000">
              <w:rPr>
                <w:rtl w:val="0"/>
              </w:rPr>
              <w:t xml:space="preserve">, 17.6. apakšpunkts, 17.</w:t>
            </w:r>
            <w:r w:rsidR="00000000" w:rsidRPr="00000000" w:rsidDel="00000000">
              <w:rPr>
                <w:vertAlign w:val="superscript"/>
                <w:rtl w:val="0"/>
              </w:rPr>
              <w:t xml:space="preserve">1</w:t>
            </w:r>
            <w:r w:rsidR="00000000" w:rsidRPr="00000000" w:rsidDel="00000000">
              <w:rPr>
                <w:rtl w:val="0"/>
              </w:rPr>
              <w:t xml:space="preserve"> un 19. punkts) un šī pakalpojuma sniegšanas kārtību, kā arī nosacījumus, kuri saistīti ar šajos noteikumos noteikto pienākumu izpildi (piemēram, šo noteikumu 14.</w:t>
            </w:r>
            <w:r w:rsidR="00000000" w:rsidRPr="00000000" w:rsidDel="00000000">
              <w:rPr>
                <w:vertAlign w:val="superscript"/>
                <w:rtl w:val="0"/>
              </w:rPr>
              <w:t xml:space="preserve">2</w:t>
            </w:r>
            <w:r w:rsidR="00000000" w:rsidRPr="00000000" w:rsidDel="00000000">
              <w:rPr>
                <w:rtl w:val="0"/>
              </w:rPr>
              <w:t xml:space="preserve">, 28., 29.</w:t>
            </w:r>
            <w:r w:rsidR="00000000" w:rsidRPr="00000000" w:rsidDel="00000000">
              <w:rPr>
                <w:vertAlign w:val="superscript"/>
                <w:rtl w:val="0"/>
              </w:rPr>
              <w:t xml:space="preserve">1</w:t>
            </w:r>
            <w:r w:rsidR="00000000" w:rsidRPr="00000000" w:rsidDel="00000000">
              <w:rPr>
                <w:rtl w:val="0"/>
              </w:rPr>
              <w:t xml:space="preserve">, 30. un 30.</w:t>
            </w:r>
            <w:r w:rsidR="00000000" w:rsidRPr="00000000" w:rsidDel="00000000">
              <w:rPr>
                <w:vertAlign w:val="superscript"/>
                <w:rtl w:val="0"/>
              </w:rPr>
              <w:t xml:space="preserve">1</w:t>
            </w:r>
            <w:r w:rsidR="00000000" w:rsidRPr="00000000" w:rsidDel="00000000">
              <w:rPr>
                <w:rtl w:val="0"/>
              </w:rPr>
              <w:t xml:space="preserve"> punkts).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- 16.04.2025.)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noteikumu projekta 11. punkts paredz noteikumu 14.</w:t>
            </w:r>
            <w:r w:rsidR="00000000" w:rsidRPr="00000000" w:rsidDel="00000000">
              <w:rPr>
                <w:vertAlign w:val="superscript"/>
                <w:rtl w:val="0"/>
              </w:rPr>
              <w:t xml:space="preserve">2</w:t>
            </w:r>
            <w:r w:rsidR="00000000" w:rsidRPr="00000000" w:rsidDel="00000000">
              <w:rPr>
                <w:rtl w:val="0"/>
              </w:rPr>
              <w:t xml:space="preserve"> punkta svītrošanu, lūdzam papildināt noteikumu projektu ar attiecīgu grozījumu noteikumu 2.</w:t>
            </w:r>
            <w:r w:rsidR="00000000" w:rsidRPr="00000000" w:rsidDel="00000000">
              <w:rPr>
                <w:vertAlign w:val="superscript"/>
                <w:rtl w:val="0"/>
              </w:rPr>
              <w:t xml:space="preserve">1</w:t>
            </w:r>
            <w:r w:rsidR="00000000" w:rsidRPr="00000000" w:rsidDel="00000000">
              <w:rPr>
                <w:rtl w:val="0"/>
              </w:rPr>
              <w:t xml:space="preserve"> punktā.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r w:rsidR="00000000" w:rsidRPr="00000000" w:rsidDel="00000000">
              <w:rPr>
                <w:vertAlign w:val="superscript"/>
                <w:rtl w:val="0"/>
              </w:rPr>
              <w:t xml:space="preserve">1</w:t>
            </w:r>
            <w:r w:rsidR="00000000" w:rsidRPr="00000000" w:rsidDel="00000000">
              <w:rPr>
                <w:rtl w:val="0"/>
              </w:rPr>
              <w:t xml:space="preserve"> Saskaņā ar likuma "Par valsts un pašvaldību dzīvojamo māju privatizāciju" 50. panta trešās daļas 2. punktu dzīvokļu īpašnieku kopība, pieņemot attiecīgu lēmumu, ir tiesīga mainīt gan šajos noteikumos, gan pārvaldnieka noteiktos kritērijus apmaksājamās daļas aprēķināšanai par dzīvojamās mājas uzturēšanai nepieciešamo pakalpojumu (piemēram, šo noteikumu 17.4., 17.5., 17.5.</w:t>
            </w:r>
            <w:r w:rsidR="00000000" w:rsidRPr="00000000" w:rsidDel="00000000">
              <w:rPr>
                <w:vertAlign w:val="superscript"/>
                <w:rtl w:val="0"/>
              </w:rPr>
              <w:t xml:space="preserve">1</w:t>
            </w:r>
            <w:r w:rsidR="00000000" w:rsidRPr="00000000" w:rsidDel="00000000">
              <w:rPr>
                <w:rtl w:val="0"/>
              </w:rPr>
              <w:t xml:space="preserve">, 17.6. apakšpunkts, 17.</w:t>
            </w:r>
            <w:r w:rsidR="00000000" w:rsidRPr="00000000" w:rsidDel="00000000">
              <w:rPr>
                <w:vertAlign w:val="superscript"/>
                <w:rtl w:val="0"/>
              </w:rPr>
              <w:t xml:space="preserve">1</w:t>
            </w:r>
            <w:r w:rsidR="00000000" w:rsidRPr="00000000" w:rsidDel="00000000">
              <w:rPr>
                <w:rtl w:val="0"/>
              </w:rPr>
              <w:t xml:space="preserve"> un 19. punkts) un šī pakalpojuma sniegšanas kārtību, kā arī nosacījumus, kuri saistīti ar šajos noteikumos noteikto pienākumu izpildi (piemēram, šo noteikumu </w:t>
            </w:r>
            <w:r w:rsidR="00000000" w:rsidRPr="00000000" w:rsidDel="00000000">
              <w:rPr>
                <w:u w:val="single"/>
                <w:rtl w:val="0"/>
              </w:rPr>
              <w:t xml:space="preserve">28., 29.</w:t>
            </w:r>
            <w:r w:rsidR="00000000" w:rsidRPr="00000000" w:rsidDel="00000000">
              <w:rPr>
                <w:u w:val="single"/>
                <w:vertAlign w:val="superscript"/>
                <w:rtl w:val="0"/>
              </w:rPr>
              <w:t xml:space="preserve">1</w:t>
            </w:r>
            <w:r w:rsidR="00000000" w:rsidRPr="00000000" w:rsidDel="00000000">
              <w:rPr>
                <w:u w:val="single"/>
                <w:rtl w:val="0"/>
              </w:rPr>
              <w:t xml:space="preserve">, 30. un 30.</w:t>
            </w:r>
            <w:r w:rsidR="00000000" w:rsidRPr="00000000" w:rsidDel="00000000">
              <w:rPr>
                <w:u w:val="single"/>
                <w:vertAlign w:val="superscript"/>
                <w:rtl w:val="0"/>
              </w:rPr>
              <w:t xml:space="preserve">1</w:t>
            </w:r>
            <w:r w:rsidR="00000000" w:rsidRPr="00000000" w:rsidDel="00000000">
              <w:rPr>
                <w:u w:val="single"/>
                <w:rtl w:val="0"/>
              </w:rPr>
              <w:t xml:space="preserve"> punkts</w:t>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r w:rsidR="00000000" w:rsidRPr="00000000" w:rsidDel="00000000">
              <w:rPr>
                <w:vertAlign w:val="superscript"/>
                <w:rtl w:val="0"/>
              </w:rPr>
              <w:t xml:space="preserve">1</w:t>
            </w:r>
            <w:r w:rsidR="00000000" w:rsidRPr="00000000" w:rsidDel="00000000">
              <w:rPr>
                <w:rtl w:val="0"/>
              </w:rPr>
              <w:t xml:space="preserve"> Saskaņā ar likuma "Par valsts un pašvaldību dzīvojamo māju privatizāciju" 50. panta trešās daļas 2. punktu dzīvokļu īpašnieku kopība, pieņemot attiecīgu lēmumu, ir tiesīga mainīt gan šajos noteikumos, gan pārvaldnieka noteiktos kritērijus apmaksājamās daļas aprēķināšanai par dzīvojamās mājas uzturēšanai nepieciešamo pakalpojumu (piemēram, šo noteikumu 17.4., 17.5., 17.5.</w:t>
            </w:r>
            <w:r w:rsidR="00000000" w:rsidRPr="00000000" w:rsidDel="00000000">
              <w:rPr>
                <w:vertAlign w:val="superscript"/>
                <w:rtl w:val="0"/>
              </w:rPr>
              <w:t xml:space="preserve">1</w:t>
            </w:r>
            <w:r w:rsidR="00000000" w:rsidRPr="00000000" w:rsidDel="00000000">
              <w:rPr>
                <w:rtl w:val="0"/>
              </w:rPr>
              <w:t xml:space="preserve">, 17.6. apakšpunkts, 17.</w:t>
            </w:r>
            <w:r w:rsidR="00000000" w:rsidRPr="00000000" w:rsidDel="00000000">
              <w:rPr>
                <w:vertAlign w:val="superscript"/>
                <w:rtl w:val="0"/>
              </w:rPr>
              <w:t xml:space="preserve">1</w:t>
            </w:r>
            <w:r w:rsidR="00000000" w:rsidRPr="00000000" w:rsidDel="00000000">
              <w:rPr>
                <w:rtl w:val="0"/>
              </w:rPr>
              <w:t xml:space="preserve"> un 19. punkts) un šī pakalpojuma sniegšanas kārtību, kā arī nosacījumus, kuri saistīti ar šajos noteikumos noteikto pienākumu izpildi (piemēram, šo noteikumu 28., 29.</w:t>
            </w:r>
            <w:r w:rsidR="00000000" w:rsidRPr="00000000" w:rsidDel="00000000">
              <w:rPr>
                <w:vertAlign w:val="superscript"/>
                <w:rtl w:val="0"/>
              </w:rPr>
              <w:t xml:space="preserve">1</w:t>
            </w:r>
            <w:r w:rsidR="00000000" w:rsidRPr="00000000" w:rsidDel="00000000">
              <w:rPr>
                <w:rtl w:val="0"/>
              </w:rPr>
              <w:t xml:space="preserve">, 30. un 30.</w:t>
            </w:r>
            <w:r w:rsidR="00000000" w:rsidRPr="00000000" w:rsidDel="00000000">
              <w:rPr>
                <w:vertAlign w:val="superscript"/>
                <w:rtl w:val="0"/>
              </w:rPr>
              <w:t xml:space="preserve">1</w:t>
            </w:r>
            <w:r w:rsidR="00000000" w:rsidRPr="00000000" w:rsidDel="00000000">
              <w:rPr>
                <w:rtl w:val="0"/>
              </w:rPr>
              <w:t xml:space="preserve"> punkts).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4.2. informēt katru dzīvokļa īpašnieku par izmaiņām attiecīgo pakalpojumu piegādes līgumos, minēto informāciju sniedzot mēneša laikā no grozījumu spēkā stāšanās dienas, ja ar attiecīgajiem grozījumiem mainīta: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(KEM - 07.05.2025.)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Eiropas Parlamenta un Padomes 2023.gada 13.septembra direktīvas (ES) 2023/1791 par energoefektivitāti un ar ko groza Regulu (ES) 2023/955 (pārstrādātā redakcija) (turpmāk - Direktīva 2023/1791) 21.panta Siltumapgādes, aukstumapgādes un mājsaimniecības karstā ūdens apgādes līgumiskās pamattiesības 2. un 3. punkti nosaka galalietotāju tiesības saņemt informāciju par pakalpojumu līgumiem un līgumu informāciju pēc pieprasījuma, pirms līguma slēgšanas vai pirms izmaiņām (</w:t>
            </w:r>
            <w:r w:rsidR="00000000" w:rsidRPr="00000000" w:rsidDel="00000000">
              <w:rPr>
                <w:i w:val="1"/>
                <w:rtl w:val="0"/>
              </w:rPr>
              <w:t xml:space="preserve">par piegādes cenas korekcijām, kā arī par korekcijas iemesliem un priekšnosacījumiem un par tās apmēru ne vēlāk kā divas nedēļas un – mājsaimniecības lietotāju gadījumā – ne vēlāk kā vienu mēnesi pirms korekcijas stāšanās spēkā</w:t>
            </w:r>
            <w:r w:rsidR="00000000" w:rsidRPr="00000000" w:rsidDel="00000000">
              <w:rPr>
                <w:rtl w:val="0"/>
              </w:rPr>
              <w:t xml:space="preserve">). Lūdzam precizēt 4. punktu un tā apakšpunktus, iekļaujot arī anotācijas 5.sadaļā Direktīvas 2023/1791 21.pantu, vai sniegt skaidrojumu, kā tiks transponētas šīs Direktīvas 2023/1791 normas.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"4.2. informēt katru dzīvokļa īpašnieku par gaidāmajām izmaiņām mēnesi pirms un par veiktajām izmaiņām attiecīgo pakalpojumu piegādes līgumos, minēto informāciju sniedzot mēneša laikā no grozījumu spēkā stāšanās dienas, ja ar attiecīgajiem grozījumiem mainīta:"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4.2. informēt katru dzīvokļa īpašnieku par gaidāmajām izmaiņām mēnesi pirms un par veiktajām izmaiņām attiecīgo pakalpojumu piegādes līgumos, minēto informāciju sniedzot mēneša laikā no grozījumu spēkā stāšanās dienas, ja ar attiecīgajiem grozījumiem mainīta: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4.3. pēc pieprasījuma sniegt informāciju  septiņu darbdienu laikā, kas iekļauta pakalpojuma piegādātāja līgumā lietotājiem, saskaņā ar normatīvajiem aktiem par siltumenerģijas piegādes un lietošanas noteikumiem;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- 16.04.2025.)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Tiesiskai skaidrībai aicinām norādīt </w:t>
            </w:r>
            <w:r w:rsidR="00000000" w:rsidRPr="00000000" w:rsidDel="00000000">
              <w:rPr>
                <w:u w:val="single"/>
                <w:rtl w:val="0"/>
              </w:rPr>
              <w:t xml:space="preserve">tiesību subjektu</w:t>
            </w:r>
            <w:r w:rsidR="00000000" w:rsidRPr="00000000" w:rsidDel="00000000">
              <w:rPr>
                <w:rtl w:val="0"/>
              </w:rPr>
              <w:t xml:space="preserve"> (sk., piemēram, 4.1. un 4.2. apakšpunktu</w:t>
            </w:r>
            <w:r w:rsidR="00000000" w:rsidRPr="00000000" w:rsidDel="00000000">
              <w:rPr>
                <w:u w:val="single"/>
                <w:rtl w:val="0"/>
              </w:rPr>
              <w:t xml:space="preserve">),</w:t>
            </w:r>
            <w:r w:rsidR="00000000" w:rsidRPr="00000000" w:rsidDel="00000000">
              <w:rPr>
                <w:rtl w:val="0"/>
              </w:rPr>
              <w:t xml:space="preserve"> kam sniedzama attiecīgā informācija. Vienlaikus lūdzam visā noteikumu tekstā ievērot konsekvenci attiecībā uz termina "pakalpojuma </w:t>
            </w:r>
            <w:r w:rsidR="00000000" w:rsidRPr="00000000" w:rsidDel="00000000">
              <w:rPr>
                <w:u w:val="single"/>
                <w:rtl w:val="0"/>
              </w:rPr>
              <w:t xml:space="preserve">piegādes</w:t>
            </w:r>
            <w:r w:rsidR="00000000" w:rsidRPr="00000000" w:rsidDel="00000000">
              <w:rPr>
                <w:rtl w:val="0"/>
              </w:rPr>
              <w:t xml:space="preserve"> līgums" lietojumu.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4.3. pēc pieprasījuma sniegt informāciju dzīvokļa īpašniekam septiņu darbdienu laikā, kas iekļauta pakalpojuma piegādes līgumā saskaņā ar normatīvajiem aktiem par siltumenerģijas piegādes un lietošanas noteikumiem;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4.4. pēc  pieprasījuma septiņu darbdienu  laikā sniegt līguma kopsavilkuma informāciju, ietverot galvenos līguma nosacījumus, pakalpojumu sniegšanas cenas un tarifus.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- 16.04.2025.)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Tiesiskai skaidrībai aicinām norādīt </w:t>
            </w:r>
            <w:r w:rsidR="00000000" w:rsidRPr="00000000" w:rsidDel="00000000">
              <w:rPr>
                <w:u w:val="single"/>
                <w:rtl w:val="0"/>
              </w:rPr>
              <w:t xml:space="preserve">tiesību subjektu</w:t>
            </w:r>
            <w:r w:rsidR="00000000" w:rsidRPr="00000000" w:rsidDel="00000000">
              <w:rPr>
                <w:rtl w:val="0"/>
              </w:rPr>
              <w:t xml:space="preserve"> (sk., piemēram, 4.1. un 4.2. apakšpunktu), kam sniedzama attiecīgā informācija.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4.4. pēc pieprasījuma septiņu darbdienu laikā sniegt dzīvokļa īpašniekam līguma kopsavilkuma informāciju, ietverot galvenos līguma nosacījumus, pakalpojumu sniegšanas cenas un tarifus.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w:t>
            </w:r>
            <w:r w:rsidR="00000000" w:rsidRPr="00000000" w:rsidDel="00000000">
              <w:rPr>
                <w:vertAlign w:val="superscript"/>
                <w:rtl w:val="0"/>
              </w:rPr>
              <w:t xml:space="preserve">1</w:t>
            </w:r>
            <w:r w:rsidR="00000000" w:rsidRPr="00000000" w:rsidDel="00000000">
              <w:rPr>
                <w:rtl w:val="0"/>
              </w:rPr>
              <w:t xml:space="preserve"> Pārvaldnieks nodrošina, lai dzīvokļu īpašniekiem tiktu piedāvāta iespēja informāciju par pakalpojumu līgumiem, rēķinus un citu saistīto informāciju saņemt elektroniskā veidā, nodrošinot privātuma un datu aizsardzību saskaņā ar normatīvajiem aktiem, kas nosaka fizisko personu datu aizsardzību.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(KEM - 07.05.2025.)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Eiropas Parlamenta un Padomes 2023.gada 13.septembra direktīvas (ES) 2023/1791 par energoefektivitāti un ar ko groza Regulu (ES) 2023/955 (pārstrādātā redakcija) (turpmāk - Direktīva 2023/1791) 20.panta 1. punkts nosaka - </w:t>
            </w:r>
            <w:r w:rsidR="00000000" w:rsidRPr="00000000" w:rsidDel="00000000">
              <w:rPr>
                <w:i w:val="1"/>
                <w:rtl w:val="0"/>
              </w:rPr>
              <w:t xml:space="preserve">dalībvalstis nodrošina, lai rēķinus un rēķinu informāciju par enerģijas patēriņu galaizmantotāji saņemtu bez maksas un lai galaizmantotāji pienācīgā veidā un bez maksas varētu piekļūt saviem patēriņa datiem. </w:t>
            </w:r>
            <w:r w:rsidR="00000000" w:rsidRPr="00000000" w:rsidDel="00000000">
              <w:rPr>
                <w:rtl w:val="0"/>
              </w:rPr>
              <w:t xml:space="preserve">Līdzīgi Energoefektivitātes likuma 16. panta pirmā daļa nosaka </w:t>
            </w:r>
            <w:r w:rsidR="00000000" w:rsidRPr="00000000" w:rsidDel="00000000">
              <w:rPr>
                <w:i w:val="1"/>
                <w:rtl w:val="0"/>
              </w:rPr>
              <w:t xml:space="preserve">elektroenerģijas, dabasgāzes, siltumenerģijas, dzesēšanai izmantojamās enerģijas tirgotājiem, nepieprasot atsevišķu samaksu, galalietotājam nodrošināt iespēju saņemt, arī elektroniski, rēķinu, rēķina informāciju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9.</w:t>
            </w:r>
            <w:r w:rsidR="00000000" w:rsidRPr="00000000" w:rsidDel="00000000">
              <w:rPr>
                <w:vertAlign w:val="superscript"/>
                <w:rtl w:val="0"/>
              </w:rPr>
              <w:t xml:space="preserve">1</w:t>
            </w:r>
            <w:r w:rsidR="00000000" w:rsidRPr="00000000" w:rsidDel="00000000">
              <w:rPr>
                <w:rtl w:val="0"/>
              </w:rPr>
              <w:t xml:space="preserve"> punktu vai papildināt ar punktu, nosakot pārvaldniekam pienākumu sniegt rēķina informāciju par komunālajiem pakalpojumiem bez atsevišķas samaksas, pārņemot Direktīvas 2023/1791 20.panta 1. punktu, vai sniegt skaidrojumu, kā tiks transponētas šīs Direktīvas 2023/1791 normas.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r w:rsidR="00000000" w:rsidRPr="00000000" w:rsidDel="00000000">
              <w:rPr>
                <w:vertAlign w:val="superscript"/>
                <w:rtl w:val="0"/>
              </w:rPr>
              <w:t xml:space="preserve">1</w:t>
            </w:r>
            <w:r w:rsidR="00000000" w:rsidRPr="00000000" w:rsidDel="00000000">
              <w:rPr>
                <w:rtl w:val="0"/>
              </w:rPr>
              <w:t xml:space="preserve"> Pārvaldniekam ir pienākums bez atsevišķas samaksas rēķinos par patērēto siltumenerģiju:";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w:t>
            </w:r>
            <w:r w:rsidR="00000000" w:rsidRPr="00000000" w:rsidDel="00000000">
              <w:rPr>
                <w:vertAlign w:val="superscript"/>
                <w:rtl w:val="0"/>
              </w:rPr>
              <w:t xml:space="preserve">1 </w:t>
            </w:r>
            <w:r w:rsidR="00000000" w:rsidRPr="00000000" w:rsidDel="00000000">
              <w:rPr>
                <w:rtl w:val="0"/>
              </w:rPr>
              <w:t xml:space="preserve">Pārvaldnieks nodrošina, lai dzīvokļu īpašniekiem tiktu piedāvāta iespēja informāciju par pakalpojumu līgumiem, rēķinus un citu saistīto informāciju saņemt bez atsevišķas samaksas elektroniskā veidā, nodrošinot privātuma un datu aizsardzību saskaņā ar normatīvajiem aktiem, kas nosaka fizisko personu datu aizsardzību."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w:t>
            </w:r>
            <w:r w:rsidR="00000000" w:rsidRPr="00000000" w:rsidDel="00000000">
              <w:rPr>
                <w:vertAlign w:val="superscript"/>
                <w:rtl w:val="0"/>
              </w:rPr>
              <w:t xml:space="preserve">1</w:t>
            </w:r>
            <w:r w:rsidR="00000000" w:rsidRPr="00000000" w:rsidDel="00000000">
              <w:rPr>
                <w:rtl w:val="0"/>
              </w:rPr>
              <w:t xml:space="preserve"> Pārvaldnieks nodrošina, lai dzīvokļu īpašniekiem tiktu piedāvāta iespēja informāciju par pakalpojumu līgumiem, rēķinus un citu saistīto informāciju saņemt bez atsevišķas samaksas elektroniskā veidā, nodrošinot privātuma un datu aizsardzību saskaņā ar normatīvajiem aktiem, kas nosaka fizisko personu datu aizsardzību.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w:t>
            </w:r>
            <w:r w:rsidR="00000000" w:rsidRPr="00000000" w:rsidDel="00000000">
              <w:rPr>
                <w:vertAlign w:val="superscript"/>
                <w:rtl w:val="0"/>
              </w:rPr>
              <w:t xml:space="preserve">2</w:t>
            </w:r>
            <w:r w:rsidR="00000000" w:rsidRPr="00000000" w:rsidDel="00000000">
              <w:rPr>
                <w:rtl w:val="0"/>
              </w:rPr>
              <w:t xml:space="preserve"> Pārvaldnieks, sagatavojot rēķina informāciju par komunālajiem pakalpojumiem un enerģijas patēriņu dzīvojamā mājā ar dalīto uzskaiti, iekļauj rēķinā pamatotas rēķina sagatavošanas izmaksas.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- 16.04.2025.)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termins "dalītā uzskaite" minēts tikai noteikumu 9.</w:t>
            </w:r>
            <w:r w:rsidR="00000000" w:rsidRPr="00000000" w:rsidDel="00000000">
              <w:rPr>
                <w:vertAlign w:val="superscript"/>
                <w:rtl w:val="0"/>
              </w:rPr>
              <w:t xml:space="preserve">2</w:t>
            </w:r>
            <w:r w:rsidR="00000000" w:rsidRPr="00000000" w:rsidDel="00000000">
              <w:rPr>
                <w:rtl w:val="0"/>
              </w:rPr>
              <w:t xml:space="preserve"> punktā, tiesiskai skaidrībai lūdzam šajā punktā izvērst minētā jēdziena tvērumu.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Sniegts paskaidrojums anotācijā: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izprastu lietotā termina "dalītā uzskaite" saturu, norādām, ka saskaņā ar Direktīvas 2023/1791 15.pantu ir izskaidrota siltumapgādes, aukstumapgādes un mājsaimniecības karstā ūdens apgādes dalītā uzskaite un izmaksu sadale, secīgi Direktīvas 2023/1791 18.pants nosaka pienākumu ņemt vērā šo patēriņa uzskaiti (siltumenerģijas skaitītāji vai siltummaksas sadalītāji dzīvokļus un karstā ūdens patēriņa skaitītāji), sagatavojot rēķinu un patēriņa informāciju.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w:t>
            </w:r>
            <w:r w:rsidR="00000000" w:rsidRPr="00000000" w:rsidDel="00000000">
              <w:rPr>
                <w:vertAlign w:val="superscript"/>
                <w:rtl w:val="0"/>
              </w:rPr>
              <w:t xml:space="preserve">2</w:t>
            </w:r>
            <w:r w:rsidR="00000000" w:rsidRPr="00000000" w:rsidDel="00000000">
              <w:rPr>
                <w:rtl w:val="0"/>
              </w:rPr>
              <w:t xml:space="preserve"> Pārvaldnieks, sagatavojot rēķina informāciju par komunālajiem pakalpojumiem un enerģijas patēriņu dzīvojamā mājā ar dalīto uzskaiti, iekļauj rēķinā pamatotas rēķina sagatavošanas izmaksas.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w:t>
            </w:r>
            <w:r w:rsidR="00000000" w:rsidRPr="00000000" w:rsidDel="00000000">
              <w:rPr>
                <w:vertAlign w:val="superscript"/>
                <w:rtl w:val="0"/>
              </w:rPr>
              <w:t xml:space="preserve">5</w:t>
            </w:r>
            <w:r w:rsidR="00000000" w:rsidRPr="00000000" w:rsidDel="00000000">
              <w:rPr>
                <w:rtl w:val="0"/>
              </w:rPr>
              <w:t xml:space="preserve"> Pārvaldnieks vai cita persona, kura ir uzstādījusi vai nomainījusi ūdens patēriņa skaitītāju, noplombē skaitītāja pievienošanas vietu. Ja ūdens patēriņa skaitītāju uzstādījusi vai nomainījusi cita persona, pārvaldnieks var pieprasīt skaitītāja pievienošanas vietu noplombēt viņa klātbūtnē, par to iepriekš informējot atbilstoši šo noteikumu 14.</w:t>
            </w:r>
            <w:r w:rsidR="00000000" w:rsidRPr="00000000" w:rsidDel="00000000">
              <w:rPr>
                <w:vertAlign w:val="superscript"/>
                <w:rtl w:val="0"/>
              </w:rPr>
              <w:t xml:space="preserve">2</w:t>
            </w:r>
            <w:r w:rsidR="00000000" w:rsidRPr="00000000" w:rsidDel="00000000">
              <w:rPr>
                <w:rtl w:val="0"/>
              </w:rPr>
              <w:t xml:space="preserve"> punktam. Ar to saistītās izmaksas pārvaldnieks ietver dzīvojamās mājas uzturēšanas un apsaimniekošanas izdevumos.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- 16.04.2025.)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noteikumu projekta 11. punkts paredz noteikumu 14.</w:t>
            </w:r>
            <w:r w:rsidR="00000000" w:rsidRPr="00000000" w:rsidDel="00000000">
              <w:rPr>
                <w:vertAlign w:val="superscript"/>
                <w:rtl w:val="0"/>
              </w:rPr>
              <w:t xml:space="preserve">2 </w:t>
            </w:r>
            <w:r w:rsidR="00000000" w:rsidRPr="00000000" w:rsidDel="00000000">
              <w:rPr>
                <w:rtl w:val="0"/>
              </w:rPr>
              <w:t xml:space="preserve">punkta svītrošanu, lūdzam papildināt noteikumu projektu ar attiecīgu grozījumu noteikumu 14.</w:t>
            </w:r>
            <w:r w:rsidR="00000000" w:rsidRPr="00000000" w:rsidDel="00000000">
              <w:rPr>
                <w:vertAlign w:val="superscript"/>
                <w:rtl w:val="0"/>
              </w:rPr>
              <w:t xml:space="preserve">5 </w:t>
            </w:r>
            <w:r w:rsidR="00000000" w:rsidRPr="00000000" w:rsidDel="00000000">
              <w:rPr>
                <w:rtl w:val="0"/>
              </w:rPr>
              <w:t xml:space="preserve">punkta otrajā teikumā.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w:t>
            </w:r>
            <w:r w:rsidR="00000000" w:rsidRPr="00000000" w:rsidDel="00000000">
              <w:rPr>
                <w:vertAlign w:val="superscript"/>
                <w:rtl w:val="0"/>
              </w:rPr>
              <w:t xml:space="preserve">5</w:t>
            </w:r>
            <w:r w:rsidR="00000000" w:rsidRPr="00000000" w:rsidDel="00000000">
              <w:rPr>
                <w:rtl w:val="0"/>
              </w:rPr>
              <w:t xml:space="preserve"> Pārvaldnieks vai cita persona, kura ir uzstādījusi vai nomainījusi ūdens patēriņa skaitītāju, noplombē skaitītāja pievienošanas vietu. Ja ūdens patēriņa skaitītāju uzstādījusi vai nomainījusi cita persona, pārvaldnieks var pieprasīt skaitītāja pievienošanas vietu noplombēt viņa klātbūtnē, par to iepriekš informējot. Ar to saistītās izmaksas pārvaldnieks ietver dzīvojamās mājas uzturēšanas un apsaimniekošanas izdevumos.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w:t>
            </w:r>
            <w:r w:rsidR="00000000" w:rsidRPr="00000000" w:rsidDel="00000000">
              <w:rPr>
                <w:vertAlign w:val="superscript"/>
                <w:rtl w:val="0"/>
              </w:rPr>
              <w:t xml:space="preserve">1</w:t>
            </w:r>
            <w:r w:rsidR="00000000" w:rsidRPr="00000000" w:rsidDel="00000000">
              <w:rPr>
                <w:rtl w:val="0"/>
              </w:rPr>
              <w:t xml:space="preserve">2. dzīvokļa īpašnieks nav ļāvis uzstādīt ūdens patēriņa skaitītāju saskaņā ar šo noteikumu 6.1.apakšpunktu;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- 16.04.2025.)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iekšēju atsauci, jo grozāmos noteikumos nav 6.1. apakšpunkta.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w:t>
            </w:r>
            <w:r w:rsidR="00000000" w:rsidRPr="00000000" w:rsidDel="00000000">
              <w:rPr>
                <w:vertAlign w:val="superscript"/>
                <w:rtl w:val="0"/>
              </w:rPr>
              <w:t xml:space="preserve">1</w:t>
            </w:r>
            <w:r w:rsidR="00000000" w:rsidRPr="00000000" w:rsidDel="00000000">
              <w:rPr>
                <w:rtl w:val="0"/>
              </w:rPr>
              <w:t xml:space="preserve">2. dzīvokļa īpašnieks nav ļāvis uzstādīt ūdens patēriņa skaitītāju saskaņā ar šo noteikumu 14.1. apakšpunktu;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30. Ja ūdens patēriņa sadales aprēķinā trīs mēnešus pēc kārtas veidojas ūdens patēriņa starpība, kas ir lielāka par 20 %, pārvaldniekam ir pienākums divu mēnešu laikā noskaidrot ūdens patēriņa starpības rašanās iemeslus, informēt dzīvokļu īpašniekus par nepieciešamajiem pasākumiem ūdens patēriņa starpības samazināšanai un kopā ar dzīvokļu īpašniekiem izvērtēt iespēju tos īstenot. Ja pārvaldnieks šajā punktā noteiktos pienākumus nevar veikt divu mēnešu laikā, par to informē dzīvokļu īpašniekus, norādot plānoto termiņu.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- 16.04.2025.)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Tiesiskai skaidrībai lūdzam precizēt normu, nosakot laika posmu, no kura skaitāms divu mēnešu periods (sk., piemēram, noteikumu 30.</w:t>
            </w:r>
            <w:r w:rsidR="00000000" w:rsidRPr="00000000" w:rsidDel="00000000">
              <w:rPr>
                <w:vertAlign w:val="superscript"/>
                <w:rtl w:val="0"/>
              </w:rPr>
              <w:t xml:space="preserve">1</w:t>
            </w:r>
            <w:r w:rsidR="00000000" w:rsidRPr="00000000" w:rsidDel="00000000">
              <w:rPr>
                <w:rtl w:val="0"/>
              </w:rPr>
              <w:t xml:space="preserve"> punktu).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Ekonomikas ministrijas ieskatā ir saprotams, ka divu mēnešu periods skaitāms no brīža, kad iestājusies situācija, kad ūdens patēriņa sadales aprēķinā trīs mēnešus pēc kārtas veidojas ūdens patēriņa starpība, kas lielāka par 20 %.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30. Ja ūdens patēriņa sadales aprēķinā trīs mēnešus pēc kārtas veidojas ūdens patēriņa starpība, kas ir lielāka par 20 %, pārvaldniekam ir pienākums divu mēnešu laikā noskaidrot ūdens patēriņa starpības rašanās iemeslus, informēt dzīvokļu īpašniekus par nepieciešamajiem pasākumiem ūdens patēriņa starpības samazināšanai un kopā ar dzīvokļu īpašniekiem izvērtēt iespēju tos īstenot. Ja pārvaldnieks šajā punktā noteiktos pienākumus nevar veikt divu mēnešu laikā, par to informē dzīvokļu īpašniekus, norādot plānoto termiņu.</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25-TA-510</w:t>
    </w:r>
    <w:r>
      <w:br/>
    </w:r>
    <w:r w:rsidR="00000000" w:rsidRPr="00000000" w:rsidDel="00000000">
      <w:rPr>
        <w:rtl w:val="0"/>
      </w:rPr>
      <w:t xml:space="preserve">30.05.2025. 15.10</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25-TA-510</w:t>
    </w:r>
    <w:r>
      <w:br/>
    </w:r>
    <w:r w:rsidR="00000000" w:rsidRPr="00000000" w:rsidDel="00000000">
      <w:rPr>
        <w:rtl w:val="0"/>
      </w:rPr>
      <w:t xml:space="preserve">30.05.2025. 15.10</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Izziņa_25-TA-510.docx</dc:title>
</cp:coreProperties>
</file>

<file path=docProps/custom.xml><?xml version="1.0" encoding="utf-8"?>
<Properties xmlns="http://schemas.openxmlformats.org/officeDocument/2006/custom-properties" xmlns:vt="http://schemas.openxmlformats.org/officeDocument/2006/docPropsVTypes"/>
</file>