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jūlija noteikumos Nr. 404 "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Veselības ministrijas atzinumā pausts priekšlikums skaidrot, vai ir veikts vai plānots izvērtējums, vai minēto informāciju būtu nepieciešams nodot arī klienta ģimenes ārstam. Veselības ministrijā saņemts LM skaidrojums un informācija par veikto izvērtējumu, tostarp ierobežojumiem, pamatojoties uz personas datu aizsardzības prasībām, taču vienlaikus aicinām šo skaidrojumu ietvert arī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informācija noteikumu projekta anotācijas apakšsadaļā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automatizēta informēšana ļauj personām ar invaliditāti laikus ieplānot procesa uzsākšanu, tādējādi novēršot iespējamus kavējumus atkārtotai dokumentu iesniegšanai Komisijā. Vienlaikus norādīts, ka atgādinājumu plānots nosūtīt indikatīvi trīs mēnešus pirms invaliditātes termiņa beigām. Vēršam uzmanību, ka anotācijā nav sniegts skaidrojums, kādēļ izvēlētais termiņš ir tieši 3 mēneši pirms invaliditātes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aicinām apsvērt, vai projekta īstenošanas ietvaros nav nepieciešams veikt monitoringu, vai 3 mēneši ir pietiekams laiks, lai veiktu nepieciešamos izmeklējumus, sagatavotu un atkārtoti iesniegtu dokumentus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informācija noteikumu projekta anotācijas apakšsadaļā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papildu skaidrojumu, cik ilgu laiku pirms invaliditātes statusa noslēguma termiņa plānots informēt klientu un kādā formā paredzēta šī informēšana (vēstule, e-pasts, sms, u.c.) pamatojoties uz noteikumu 13.2. punktā noteikto "[..] komisijas klientu savlaicīgu informēšanu par invaliditātes statusa noslēguma termiņa tuvošanos". Papildu aicinām skaidrot, vai ir veikts vai plānots izvērtējums, vai minēto informāciju būtu nepieciešams nodot arī klienta ģimenes ārstam.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norādot, ka atgādinājumu par invaliditātes termiņa beigām plānots nosūtīt personai e-pastā. Gan  par bērniem līdz 18 gadu vecumam, gan pilngadīgām personām indikatīvi trīs mēnešus pirms invaliditātes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informāciju nav plānots sūtīt ģimenes ārstiem, jo nav tiesiskā pamata sniegt personas sensitīvos datus saturošu informāciju ģimenes ārstiem. Tikai persona pati var izlemt, vai informēt ģimenes ārstu par savu lēmumu iesniegt dokumentus Veselības un darbspēju ekspertīzes ārstu valsts komisijā (turpmāk – VDEĀVK) invaliditātes ekspertīzes veikšanai. Attiecīgi VDEĀVK uz personas iesnieguma pamata  izskata dokumentus un pieņemt lēmumu. Vienlaikus varbūt arī gadījumi, kad nosūtījumu invaliditātes ekspertīzes veikšanai sagatavo ārstējošais ārsts (piemēram, traumatologs) un ģimenes ārsts nav iesaistīts nosūtījuma sagatavošanā.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"1.3. Pašreizējā situācija, problēmas un risinājumi" rindkopu - "</w:t>
            </w:r>
            <w:r w:rsidR="00000000" w:rsidRPr="00000000" w:rsidDel="00000000">
              <w:rPr>
                <w:i w:val="1"/>
                <w:rtl w:val="0"/>
              </w:rPr>
              <w:t xml:space="preserve">precizēt 15.1. apakšpunktam pakārtotos apakšpunktus, norādot, ka tiks izstrādāta vienkāršoto izmaksu metodika personāla atlīdzībai, neidentificējot, kurš no vienkāršoto izmaksu veidiem (vienības izmaksas vai nemainīgā likme) tiks piemērots</w:t>
            </w:r>
            <w:r w:rsidR="00000000" w:rsidRPr="00000000" w:rsidDel="00000000">
              <w:rPr>
                <w:rtl w:val="0"/>
              </w:rPr>
              <w:t xml:space="preserve">", aizstājot vārdus "nemainīgā likme" ar vārdiem "vienotā likme", lai nodrošinātu atbilstību Finanšu ministrijas vadlīnijās "Vadlīnijas par vienkāršoto izmaksu izmantošanas iespējām un to piemērošana Eiropas Savienības kohēzijas politikas programmas 2021.–2027.gadam ietvaros"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kā ES fondu vadošās iestādes 05.02.2025. vēstulē Nr. 5.1-36/11-2/368 sniegto informāciju, tā turpmāk atbalsta divu veidu pieeju projekta vadības personāla izmaksu attiecināšanu projektu līmenī – a)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2021/1060) 55. panta piemērošanu vai b) faktisko izmaksu piemērošanu. 4.3.6.2. pasākuma projekta personāla izmaksas pārsniedz regulas 2021/1060 55. pantā noteikto 20% likmi personāla izmaksām no projekta tiešajām izmaksām, kas nav personāla izmaksas, līdz ar to regulā 2021/1060 noteikto likmi nav iespējams piemērot. Tādējādi 4.3.6.2. pasākumā finansējuma saņēmēja projekta vadības un īstenošanas personāla izmaksām tiks piemērotas faktiskās izmaksas. Atbilstoši precizēts noteikumu projekts (15.1. apakšpunkts un tam pakārtotie apakšpunkti)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iekšzemes komandējumu un darba braucienu izmaksas finansējuma saņēmēja projekta vadības un īstenošanas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15.2.2. punkta (komandējumu un darba braucienu izmaksas) papildināšanu ar plānotā 13.3.</w:t>
            </w:r>
            <w:r w:rsidR="00000000" w:rsidRPr="00000000" w:rsidDel="00000000">
              <w:rPr>
                <w:vertAlign w:val="superscript"/>
                <w:rtl w:val="0"/>
              </w:rPr>
              <w:t xml:space="preserve">1 </w:t>
            </w:r>
            <w:r w:rsidR="00000000" w:rsidRPr="00000000" w:rsidDel="00000000">
              <w:rPr>
                <w:rtl w:val="0"/>
              </w:rPr>
              <w:t xml:space="preserve">apakšpunkta atbalstāmo darbību (</w:t>
            </w:r>
            <w:r w:rsidR="00000000" w:rsidRPr="00000000" w:rsidDel="00000000">
              <w:rPr>
                <w:rtl w:val="0"/>
              </w:rPr>
              <w:t xml:space="preserve">komandējumu un darba braucienu izmaksas projekta īstenošanas un vadības personālam</w:t>
            </w:r>
            <w:r w:rsidR="00000000" w:rsidRPr="00000000" w:rsidDel="00000000">
              <w:rPr>
                <w:rtl w:val="0"/>
              </w:rPr>
              <w:t xml:space="preserve">), ņemot vērā noteikumu plānotajā 22.</w:t>
            </w:r>
            <w:r w:rsidR="00000000" w:rsidRPr="00000000" w:rsidDel="00000000">
              <w:rPr>
                <w:vertAlign w:val="superscript"/>
                <w:rtl w:val="0"/>
              </w:rPr>
              <w:t xml:space="preserve">1 </w:t>
            </w:r>
            <w:r w:rsidR="00000000" w:rsidRPr="00000000" w:rsidDel="00000000">
              <w:rPr>
                <w:rtl w:val="0"/>
              </w:rPr>
              <w:t xml:space="preserve">punktā norādīto, ka noteikumu 13.3.</w:t>
            </w:r>
            <w:r w:rsidR="00000000" w:rsidRPr="00000000" w:rsidDel="00000000">
              <w:rPr>
                <w:vertAlign w:val="superscript"/>
                <w:rtl w:val="0"/>
              </w:rPr>
              <w:t xml:space="preserve">1</w:t>
            </w:r>
            <w:r w:rsidR="00000000" w:rsidRPr="00000000" w:rsidDel="00000000">
              <w:rPr>
                <w:rtl w:val="0"/>
              </w:rPr>
              <w:t xml:space="preserve"> apakšpunktā minēto atbalstāmo darbību īsteno finansējuma saņēmēja izvēlēts pakalpojuma sniedzējs, kas nodrošina materiāli tehniskā nodrošinājuma piegādi, montāžu un verificēšanu.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izslēdzot no 15.2.2. apakšpunkta atsauci uz 13.3.</w:t>
            </w:r>
            <w:r w:rsidR="00000000" w:rsidRPr="00000000" w:rsidDel="00000000">
              <w:rPr>
                <w:vertAlign w:val="superscript"/>
                <w:rtl w:val="0"/>
              </w:rPr>
              <w:t xml:space="preserve">1 </w:t>
            </w:r>
            <w:r w:rsidR="00000000" w:rsidRPr="00000000" w:rsidDel="00000000">
              <w:rPr>
                <w:rtl w:val="0"/>
              </w:rPr>
              <w:t xml:space="preserve">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darba vietas aprīkojuma iegādei vai nomai, tai skaitā aprīkojuma uzturēšanai un remontam, finansējuma saņēmēja projekta vadības un īstenošanas personālam jaunu darba vietu radīšanai vai esošo darba vietu atjaunošanai var paredzēt ne vairāk kā 3000 </w:t>
            </w:r>
            <w:r w:rsidR="00000000" w:rsidRPr="00000000" w:rsidDel="00000000">
              <w:rPr>
                <w:i w:val="1"/>
                <w:rtl w:val="0"/>
              </w:rPr>
              <w:t xml:space="preserve">euro </w:t>
            </w:r>
            <w:r w:rsidR="00000000" w:rsidRPr="00000000" w:rsidDel="00000000">
              <w:rPr>
                <w:rtl w:val="0"/>
              </w:rPr>
              <w:t xml:space="preserve">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slēgti uzņēmuma līgumi par projekta vadību, grāmatvedību vai tamlīdzīgu pakalpojumu sniegšanu, tad pēc būtības tas ir pakalpojums, ko piesaistītais personāls sniedz ar saviem materiālajiem resursiem, līdz ar to darba vietas aprīkojuma izmaksas šajā gadījumā nebūtu attiecināmas. Ņemot vērā iepriekš minēto, lūdzam izvērtēt, vai noteikumu projekta 16.2. apakšpunktā nebūtu jāveic precizējumi, norādot, ka darba vietas aprīkojuma izmaksas ir attiecināmas personālam, kas nodarbināti uz darba līguma vai rīkojuma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personāla izmaksu ietvars ir noteikts aktuālajās attiecināmo izmaksu vadlīnijās Nr. 1.2 “Vadlīnijas attiecināmo izmaksu noteikšanai Eiropas Savienības kohēzijas politikas programmas 2021. –2027.gada plānošanas periodā” (turpmāk – vadlīnijas). Finansējuma saņēmējam šīs vadlīnijas ir saistošas, jo to paredz vienošanās ar Centrālo finanšu un līgumu aģentūru par projekta īstenošanu. Ministru kabineta 2023. gada 13. jūlija noteikumu Nr. 404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 (turpmāk – MK noteikumi Nr. 404) 16.2. apakšpunktā noteikts, ka darba vietas aprīkojuma izmaksas ir attiecināmas. Savukārt, darba vietas aprīkojuma izmaksu skaidrojums ir noteikts aktuālajās vadlīnijās, kuru 9.4. punktā noteikts “Ja projekta vadības vai īstenošanas darbi tiek veikti, pamatojoties uz uzņēmuma (pakalpojuma) līgumu, darba vietas aprīkojuma izmaksas nav attiecināmas.”.  Uzskatām, ka MK noteikumu Nr. 404 16.2. apakšpunkta redakcija ietver būtiskākos darba vietas aprīkojuma izmaksu attiecināšanas nosacījumus un visus vadlīnijās ietvertos skaidrojumus pārcelt uz normatīvo aktu nav lietderīgi. Saskaņā ar vienošanos par projekta īstenošanu, finansējuma saņēmējam ir jāievēro aktuālajās vadlīnijās noteiktie izmaksu plānošanas un veikšanas  nosacījumi. Līdz ar to šis nosacījums par darba vietas aprīkojuma izmaksu attiecināmību finansējuma saņēmējam ir saistošs arī bez MK noteikumu Nr. 404 16.2. apakšpunkta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arī informācija noteikumu projekta anotācijas 1.3. apakšsadaļā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darba vietas aprīkojuma iegādei vai nomai, tai skaitā aprīkojuma uzturēšanai un remontam, finansējuma saņēmēja projekta vadības un īstenošanas personālam jaunu darba vietu radīšanai vai esošo darba vietu atjaunošanai var paredzēt ne vairāk kā 3000 </w:t>
            </w:r>
            <w:r w:rsidR="00000000" w:rsidRPr="00000000" w:rsidDel="00000000">
              <w:rPr>
                <w:i w:val="1"/>
                <w:rtl w:val="0"/>
              </w:rPr>
              <w:t xml:space="preserve">euro </w:t>
            </w:r>
            <w:r w:rsidR="00000000" w:rsidRPr="00000000" w:rsidDel="00000000">
              <w:rPr>
                <w:rtl w:val="0"/>
              </w:rPr>
              <w:t xml:space="preserve">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24-TA-3258</w:t>
    </w:r>
    <w:r>
      <w:br/>
    </w:r>
    <w:r w:rsidR="00000000" w:rsidRPr="00000000" w:rsidDel="00000000">
      <w:rPr>
        <w:rtl w:val="0"/>
      </w:rPr>
      <w:t xml:space="preserve">07.03.2025. 21.06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24-TA-3258</w:t>
    </w:r>
    <w:r>
      <w:br/>
    </w:r>
    <w:r w:rsidR="00000000" w:rsidRPr="00000000" w:rsidDel="00000000">
      <w:rPr>
        <w:rtl w:val="0"/>
      </w:rPr>
      <w:t xml:space="preserve">07.03.2025. 21.06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Izziņa_24-TA-3258.docx</dc:title>
</cp:coreProperties>
</file>

<file path=docProps/custom.xml><?xml version="1.0" encoding="utf-8"?>
<Properties xmlns="http://schemas.openxmlformats.org/officeDocument/2006/custom-properties" xmlns:vt="http://schemas.openxmlformats.org/officeDocument/2006/docPropsVTypes"/>
</file>