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23-TA-1073: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16. jūnija noteikumos Nr. 383 "Noteikumi par garantijām saimnieciskās darbības veicējiem konkurētspējas uzlabošanai"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pēc iespējas kvantitatīvu novērtējumu par investīcijas efektivitāti, plānoto ietekmi uz attīstības plānošanas dokumentos noteikto mērķu sasniegšanu, informāciju par atdevi un ietekmi uz ekonomikas transformāciju, kā arī potenciālo ietekmi uz IKP.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anotācijas 1.3. sadaļā zem 4.punkta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sniegtā atbalsta disproporciju Latvijas reģionu griezumā, lūdzam sniegt skaidrojumu kā Altum sekmēs aizdevumu garantiju pieejamību Latgales reģionā.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anotācijas 1.3. sadaļā zem 4.punkta. Norādām, lai veicinātu atbalsta pieejamību Latgales reģionā, 1.2.2.2. un 1.2.3.4. pasākumu ieviešanā tiks iesaistīts Altum reģionālais centrs Rēzeknē, kā arī komersantiem ir pieejams konsultāciju sniegšanas centrs Daugavpilī. Ekonomikas ministrija atbilstoši komunikācijas plānam īstenos informatīvos reģionālos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Izsekojamības un noteiktības nolūkā lūdzam anotācijā iekļaut informāciju par ALTUM lēmuma apstrīdēšanas kārtību, tādējādi informējot adresātus par tālākām minēto lēmumu apstrīdēšanas tiesībām. Uzskatām, ka vispārējā civiltiesiskā kārtībā apstrīdami lēmumi nav pašsaprotamas cita normatīvā akta regulētas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programmas ieviešanas pieredzi, minētie nosacījumi ir ietverti sadarbības līgumos ar kredītiestādēm un nav MK noteikumu tvēruma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ietekmes izvērtējumu uz jau izsniegto atbalstu un atbalsta saņēmējiem, kas jau saņēmuši atbalstu šo noteikumu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zem sadaļas Papildu dokumenti esam pievienojuoši  Programmas “Garantijas saimnieciskās darbības veicējiem konkurētspējas uzlabošanai” rādītāju novērtējums (ERAF 2021.-2027.gada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atbalsta programmas īstenošanas gaitu, kā arī izvērtēta turpmāka atbalsta programmas ietekme, riski un sagaidāmie zaudējumi, finansiālais rezultāts un atbalsta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Tai skaitā lūdzam izvērtēt noteikumu projektā ietverto </w:t>
            </w:r>
            <w:r w:rsidR="00000000" w:rsidRPr="00000000" w:rsidDel="00000000">
              <w:rPr>
                <w:i w:val="1"/>
                <w:rtl w:val="0"/>
              </w:rPr>
              <w:t xml:space="preserve">grozījumu attiecībā uz iespēju mainīt/ palielināt vai samazināt ERAF finansējumu</w:t>
            </w:r>
            <w:r w:rsidR="00000000" w:rsidRPr="00000000" w:rsidDel="00000000">
              <w:rPr>
                <w:rtl w:val="0"/>
              </w:rPr>
              <w:t xml:space="preserve">, ietekmi uz apstiprināto programmas rādītāju novērtējumu pie iespējamām ERAF finansējuma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zem sadaļas Papildu dokumenti esam pievienojuoši  Programmas “Garantijas saimnieciskās darbības veicējiem konkurētspējas uzlabošanai” rādītāju novērtējums (ERAF 2021.-2027.gada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atbalsta piešķiršanas nosacījumus garantiju veidā saimnieciskās darbības veicēju konkurētspējas uzlabošanai pieejamo finansējumu un kārtību, kādā īsteno šādus Eiropas Savienības kohēzijas politikas programmas specifiskā atbalsta mērķa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Savienības kohēzijas politikas programma ir attiecināma tikai uz Eiropas Savienības fondu 2021.-2027.gada plānošanas periodu, attiecīgi lūdzam no pirmā punkta ievadteikuma svītrot vārdus "Eiropas Savienības kohēzijas politikas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svītotri vārdi "Eiropas Savienības kohēzijas politikas programmas"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atbalsta piešķiršanas nosacījumus garantiju veidā saimnieciskās darbības veicēju konkurētspējas uzlabošanai pieejamo finansējumu un kārtību, kādā īsteno šādus specifiskā atbalsta mērķa pasākumus: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Eiropas Savienības kohēzijas politikas programmas 2021.-2027.gadam 1.2.3. specifiskā atbalsta mērķa "Veicināt ilgtspējīgu izaugsmi, konkurētspēju un darba vietu radīšanu MVU, tostarp ar produktīvām investīcijām" 1.2.3.4. pasākumu “Garantijas, portfeļgarantijas pilna cikla uzņēmējdarbībai (turpmāk – 1.2.3.4. pasākums)” un 1.2.2. specifiskā atbalsta mērķa “Izmantot digitalizācijas priekšrocības uzņēmējdarbības attīstībai ” 1.2.2.2. Individuālās garantijas digitalizācijai un automatizācijai (turpmāk – 1.2.2.2. pasākums) tiešo finanšu instrumentu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ietvaros noteikt skaidru demarkāciju atbalstāmo darbību līmenī starp Eiropas Savienības kohēzijas politikas programmas 2021.-2027.gadam 1.2.3.4.pasākuma “Garantijas, portfeļgarantijas pilna cikla uzņēmējdarbībai” un 1.2.2.2.pasākuma "Individuālās garantijas digitalizācijai un automatizācijai" ietvaros noteiktajām aizdevumu garantijām.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precizēt noteikumu projektu ievērojot Eiropas Savienības kohēzijas politikas programmas 2021.-2027.gadam noteikto, piemēram, noteikt, ka pirms individuālās garantijas digitalizācijai vai automatizācijai piešķiršanas ir jāveic EDIC pirmreizējais uzņēmuma novērtējums, kā arī jāsaņem digitālās attīstības ceļa karte.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31.</w:t>
            </w:r>
            <w:r w:rsidR="00000000" w:rsidRPr="00000000" w:rsidDel="00000000">
              <w:rPr>
                <w:vertAlign w:val="superscript"/>
                <w:rtl w:val="0"/>
              </w:rPr>
              <w:t xml:space="preserve">1</w:t>
            </w:r>
            <w:r w:rsidR="00000000" w:rsidRPr="00000000" w:rsidDel="00000000">
              <w:rPr>
                <w:rtl w:val="0"/>
              </w:rPr>
              <w:t xml:space="preserve"> punktu šādā redakcijā: “Atbalstu, izmantojot šo noteikumu 7.5. punktā minēto finansējumu, kas piešķirts šo 1.2.2.2 pasākuma ietvaros, nedrīkst apvienot ar citu atbalstu par tām pašām izmaksām, kas piešķirts 1.2.3.4.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ņemot vērā, ka lēmumu par finansējuma piešķiršanu minētā projekta attīstībai, kam piešķirta Altum garantija, pieņem kredītiestāde, šādas izziņas nepieciešamība būtu papildus slogs komersantam.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Eiropas Savienības kohēzijas politikas programmas 2021.-2027.gadam 1.2.2. specifiskā atbalsta mērķa “Izmantot digitalizācijas priekšrocības uzņēmējdarbības attīstībai” 1.2.2.2. Individuālās garantijas digitalizācijai un automatizācijai (turpmāk – 1.2.2.2. pasākums) un 1.2.3. specifiskā atbalsta mērķa "Veicināt ilgtspējīgu izaugsmi, konkurētspēju un darba vietu radīšanu MVU, tostarp ar produktīvām investīcijām" 1.2.3.4. pasākumu “Garantijas, portfeļgarantijas pilna cikla uzņēmējdarbībai (turpmāk – 1.2.3.4. pasākums)” tiešo finanšu instrumentu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mazās un vidējās kapitalizācijas  sabiedrības, kas atbilst Eiropas Parlamenta un Padomes 2015.gada 25.jūnija Regulas (ES) 2015/1017 par Eiropas Stratēģisko investīciju fondu, Eiropas Investīciju konsultāciju centru un Eiropas Investīciju projektu portālu, ar ko groza Regulas (ES) Nr. 1291/2013 un (ES) Nr. 1316/2013 – Eiropas Stratēģisko investīciju fonds 2.pantam ir attiecināms tikai uz 1.2.2.2. un 1.2.3.4.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iebildumu, kas ietverts izziņas 9.punktā, un atkārtoti aicinām skaidrot anotācijā nepieciešamību noteikumu projektu papildināt ar 3.3.apakšpunktu, t.i., mazās un vidējās kapitalizācijas sabiedrības definīciju, ņemot vērā, ka noteikumu projekta ietvaros atbalsts tiek sniegts gan MVU, gan lielajiem uzņēmumiem un MVU un lielo uzņēmumu definīcijas ir attiecīgi jau iekļautas noteikumu projekta 3.1. un 3.2.apakšpunktos.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Ekonomikas ministrija plāno noteikumu projekta ietvaros sniegt atbalstu gan “mazas vidējas kapitalizācijas sabiedrībām”, gan “vidējas kapitalizācijas sabiedrībām”, vēršam uzmanību, ka “mazas vidējas kapitalizācijas sabiedrības” un “vidējas kapitalizācijas sabiedrības” definīcijas ir noteiktas </w:t>
            </w:r>
            <w:r w:rsidR="00000000" w:rsidRPr="00000000" w:rsidDel="00000000">
              <w:rPr>
                <w:i w:val="1"/>
                <w:rtl w:val="0"/>
              </w:rPr>
              <w:t xml:space="preserve">Eiropas Parlamenta un Padomes 2015.gada 25.jūnija Regulas (ES) 2015/1017 par Eiropas Stratēģisko investīciju fondu, Eiropas Investīciju konsultāciju centru un Eiropas Investīciju projektu portālu, ar ko groza Regulas (ES) Nr. 1291/2013 un (ES) Nr. 1316/2013 – Eiropas Stratēģisko investīciju fonds</w:t>
            </w:r>
            <w:r w:rsidR="00000000" w:rsidRPr="00000000" w:rsidDel="00000000">
              <w:rPr>
                <w:rtl w:val="0"/>
              </w:rPr>
              <w:t xml:space="preserve"> 2.panta 6. un 7.punktā, savukārt tāda definīcija, kā "mazās un vidējās kapitalizācijas sabiedrības" noteikta nav. Lūdzam veikt attiecīgus precizējumus noteikumu projekta 3.3.apakšpunktā.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3.3. punkts. Vienlaikus skaidrojam, ka Eiropas Savienības kohēzijas politikas programmas 2021.-2027. gadam atbalstu Finanšu instrumentu veidā var saņemt mazas vidējās kapitalizācijas un vidējās kapitalizācijas sabiedrības.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mazas vidējās kapitalizācijas un vidējās kapitalizācijas  sabiedrības, kas atbilst Eiropas Parlamenta un Padomes 2015.gada 25.jūnija Regulas (ES) 2015/1017 par Eiropas Stratēģisko investīciju fondu, Eiropas Investīciju konsultāciju centru un Eiropas Investīciju projektu portālu, ar ko groza Regulas (ES) Nr. 1291/2013 un (ES) Nr. 1316/2013 – Eiropas Stratēģisko investīciju fonds 2.panta 6. un 7.punktam ir attiecināms tikai uz 1.2.2.2. un 1.2.3.4. pasākumiem.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vidējās kapitalizācijas sabiedrības, kas atbilst Eiropas Parlamenta un Padomes 2015.gada 25.jūnija Regulas (ES) 2015/1017 par Eiropas Stratēģisko investīciju fondu, Eiropas Investīciju konsultāciju centru un Eiropas Investīciju projektu portālu, ar ko groza Regulas (ES) Nr. 1291/2013 un (ES) Nr. 1316/2013 – Eiropas Stratēģisko investīciju fonds 2.pantam.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3.3.apakšpunktu, norādot, ka atbalsts ir pieejams arī mazām vidējas kapitalizācijas sabiedrībām, atbilstoši Eiropas Savienības kohēzijas politikas programmas 2021.-2027.gadam 107.§ un Eiropas Parlamenta un Padomes 2021. gada 24. jūnija regulas Nr.2021/1058, par Eiropas Reģionālās attīstības fondu un Kohēzijas fondu (turpmāk – regula Nr.2021/1058), 5.panta 2.punkta c) apakšpunktā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šo noteikumu ietvaros noteikt, ka šo noteikumu 3.3.apakšpunktā noteiktās sabiedrības var saņemt atbalstu tikai no šo noteikumu 7.5.apakšpunktā noteiktā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anotācijas 1.3.sadaļu, norādot, ka atbilstoši regulas Nr.2021/1058 5.panta 2.punkta c) apakšpunktā noteiktajam Eiropas Savienības fondu 2021.—2027. gada plānošanas periodā nav atbalstāmi lielie komersanti, bet ar finanšu instrumentu finansējumu ir atbalstāmas mazās kapitalizācijas sabiedrības un vidējās kapitalizācijas sabiedrības, atbilstoši Eiropas Parlamenta un Padomes 2015.gada 25.jūnija regulas Nr.2015/1017, par Eiropas Stratēģisko investīciju fondu, Eiropas Investīciju konsultāciju centru un Eiropas Investīciju projektu portālu, ar ko groza Regulas (ES) Nr. 1291/2013 un (ES) Nr. 1316/2013 – Eiropas Stratēģisko investīciju fonds, 2.panta 6. un 7.punktā noteiktajai definīcijai.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attiecīgie precizējumi MK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mazas vidējās kapitalizācijas un vidējās kapitalizācijas  sabiedrības, kas atbilst Eiropas Parlamenta un Padomes 2015.gada 25.jūnija Regulas (ES) 2015/1017 par Eiropas Stratēģisko investīciju fondu, Eiropas Investīciju konsultāciju centru un Eiropas Investīciju projektu portālu, ar ko groza Regulas (ES) Nr. 1291/2013 un (ES) Nr. 1316/2013 – Eiropas Stratēģisko investīciju fonds 2.panta 6. un 7.punktam ir attiecināms tikai uz 1.2.2.2. un 1.2.3.4. pasākumiem.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vidējās kapitalizācijas sabiedrības, kas atbilst Eiropas Parlamenta un Padomes 2015.gada 25.jūnija Regulas (ES) 2015/1017 par Eiropas Stratēģisko investīciju fondu, Eiropas Investīciju konsultāciju centru un Eiropas Investīciju projektu portālu, ar ko groza Regulas (ES) Nr. 1291/2013 un (ES) Nr. 1316/2013 – Eiropas Stratēģisko investīciju fonds 2.pantam.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nepieciešamību noteikumu projektu papildināt ar vidējas kapitalizācijas sabiedrības definīciju, ņemot vērā, ka noteikumu projekta ietvaros atbalsts tiek sniegts gan MVU, gan lielajiem uzņēmumiem. Vienlaikus vēršam uzmanību, ka noteikumu tekstā šī definīcija ir jālieto, t.i., arī uz vidējās kapitalizācijas sabiedrību ir jāattiecina un jāparedz atbilstoši de minimis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vidējās kapitalizācijas sabiedrības definīcija ir noteikta Eiropas Parlamenta un Padomes 2015.gada 25.jūnija Regulas (ES) 2015/1017 par Eiropas Stratēģisko investīciju fondu, Eiropas Investīciju konsultāciju centru un Eiropas Investīciju projektu portālu, ar ko groza Regulas (ES) Nr. 1291/2013 un (ES) Nr. 1316/2013 – Eiropas Stratēģisko investīciju fonds 2.panta 7.punktā. Lūdzam pārskatīt un precizēt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projekts ar 21.punkts un precizēta 3.3. punkta definīcija.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mazas vidējās kapitalizācijas un vidējās kapitalizācijas  sabiedrības, kas atbilst Eiropas Parlamenta un Padomes 2015.gada 25.jūnija Regulas (ES) 2015/1017 par Eiropas Stratēģisko investīciju fondu, Eiropas Investīciju konsultāciju centru un Eiropas Investīciju projektu portālu, ar ko groza Regulas (ES) Nr. 1291/2013 un (ES) Nr. 1316/2013 – Eiropas Stratēģisko investīciju fonds 2.panta 6. un 7.punktam ir attiecināms tikai uz 1.2.2.2. un 1.2.3.4. pasākumiem.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Garantija sedz līdz 80 % no finanšu pakalpojuma 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projektā noteikt komercdarbības atbalsta likmes diferencēšanu atbilstoši komersanta lielumam (mazais, vidējais, mazs vidējās kapitalizācijas vai vidējās kapitalizācijas komersants). Ja netiek paredzēta komercdarbības atbalsta likmes diferencēšana, tad lūdzam anotācijā ietvert skaidrojumu par šādu nosacījumu nepiemērošanu.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garantijas likme nav tiešā veidā sasaistāma ar komersanta lielumu, bet gan kopumā ir atkarīga no konkrētā projekta, tā finansēšanas iespējām un konkrētā darījuma struktūras, līdz ar to nav nepieciešams noteikt diferenciāciju, pamatojoties uz garantijas likmi.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Garantija sedz līdz 80 % no finanšu pakalpojuma summas.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12.3. 7 000 000 </w:t>
            </w:r>
            <w:r w:rsidR="00000000" w:rsidRPr="00000000" w:rsidDel="00000000">
              <w:rPr>
                <w:i w:val="1"/>
                <w:rtl w:val="0"/>
              </w:rPr>
              <w:t xml:space="preserve">euro</w:t>
            </w:r>
            <w:r w:rsidR="00000000" w:rsidRPr="00000000" w:rsidDel="00000000">
              <w:rPr>
                <w:rtl w:val="0"/>
              </w:rPr>
              <w:t xml:space="preserve">, ja garantija tiek sniegta 1.2.2.2. pasākuma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iebildumu, kas ietverts izziņas 11.punktā un atkārtoti aicinām to ņemt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Ekonomikas ministrijas izziņā sniegtajam skaidrojumam, vienmēr tiks piemērots vai 12.1. vai 12.2.apakšpunktā noteiktais subsīdijas ekvivalenta aprēķins. Ar to saprotam, ka vai nu maksimālais atbalsta apmērs būs MVU gadījumā 5 miljoni eiro, vai lielo uzņēmumu gadījumā - 1,5 miljoni eiro. Līdz ar to, 12.3.apakšpunkts, kurā norādīti 7 miljoni eiro kā vēl viens maksimālais atbalsta apmērs, nekad netiks piemērots, jo minētais apjoms nekad netiks sasniegts. Lūdzam dzēst 12.3.apakšpunktu, jo tas ir lieks.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maksimālais garantijas apmērs 7 milj. EUR var tikt piemērots tikai MVU 1.2.2.2 pasākuma ietvaros (garantija digitalizācijas pasākumu ieviešanai), līdz ar to EM ieskatā noteikumu projekta ietvaros skaidrības nolūkos šis ir papildus MKN projektā ietverams 12.3. nosacījumos, ņemot vērā, ka šajā gadījumā maksimālā garantijas summa ir nevis 5 milj. EUR, bet 7 milj. EUR. Attiecīgi precizēts MK noteikumu projekts, svītrojot 12.3 punktu, kā arī precizēts 12.1.punkts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12.3. 7 000 000 </w:t>
            </w:r>
            <w:r w:rsidR="00000000" w:rsidRPr="00000000" w:rsidDel="00000000">
              <w:rPr>
                <w:i w:val="1"/>
                <w:rtl w:val="0"/>
              </w:rPr>
              <w:t xml:space="preserve">euro</w:t>
            </w:r>
            <w:r w:rsidR="00000000" w:rsidRPr="00000000" w:rsidDel="00000000">
              <w:rPr>
                <w:rtl w:val="0"/>
              </w:rPr>
              <w:t xml:space="preserve">, ja garantija tiek sniegta 1.2.2.2. pasākuma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 redakcijas nav skaidrs, kā šādā gadījumā tiks aprēķināts subsīdijas ekvivalents, lūdzam papildināt šo punktu ar nosacījumu, kas ietvertu arī bruto dotācijas ekvivalenta aprēķinu atbilstoši Komisijas regulas Nr.1407/2013 4.panta 6.punkta c)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spēkā esošā noteikumu redakcija jau paredz kārtību, kādā tiek aprēķināts subsīdijas ekvivalents, tai skaitā, 1.2.2.2. pasākuma ietvaros. Proti, 12.1. punktā noteikta kārtība, kādā subsīdijas ekvivalents tiek aprēķināts MVU , t.i. saskaņā ar  Komisijas regulas Nr.  1407/2013 4. panta 6. punkta "c" apakšpunktu, savukārt 12.2. punktā noteikta kārtība lielajiem komersantiem, tas ir, piemērojot Komisijas regulas Nr.  1407/2013 4. panta 6. punkta "b"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ja tam ar tiesas spriedumu ir pasludināts maksātnespējas process, ir ierosināts vai tiek īstenots tiesiskās aizsardzības process vai ja saimnieciskās darbības veicējs atbilst normatīvajos aktos noteiktajiem kritērijiem, uz kuriem pamatojoties kreditors var pieprasīt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iebildumu, kas ietverts izziņas 12.punktā, un atkārtoti aicinām precizēt noteikumu projekta 18.1.apakšpunktu, paredzot atbalsta pretendentam pienākumu iesniegt apliecinājumu par to, vai uzņēmums neatbilst normatīvajos aktos noteiktajiem kritērijiem, lai tam pēc kreditoru pieprasījuma pieprasītu maksātnespējas procedūru. Nosacījums par apliecinājuma iesniegšanu ir nepieciešams, lai nodrošinātu korektu un visaptverošu Komisijas regulas Nr.651/2014 2.panta 18.punkta c) apakšpunktā ietvertā nosacījuma piemērošanu. Atkārtoti skaidrojam, ka par iepriekšminēto nosacījumu atbalsta sniedzējam nav iespējams pārliecināties publiski pieejamos resursos un nosacījums ir jāvērtē, pamatojoties uz uzņēmuma iesniegtu apliecinājumu. Aicinām arī iepazīties ar Finanšu ministrijas 06.04.2021 vēstuli Nr.7-4/18/1868 “Par Komisijas regulas Nr.651/2014 2.panta 18.punkta c) apakšpunkta piemērošanu”, kas adresēta arī Ekonomikas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18.1. punkts nosakot, ka saimnieciskās darbības veicējs ir iesniedzis apliecinājumu, ka tas atbilst normatīvajos aktos noteiktajiem kritērijiem, uz kuriem pamatojoties kreditors var pieprasīt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ja tam ar tiesas spriedumu ir pasludināts maksātnespējas process, ir ierosināts vai tiek īstenots tiesiskās aizsardzības process vai ja saimnieciskās darbības veicējs ir iesniedzis apliecinājumu, ka tas atbilst normatīvajos aktos noteiktajiem kritērijiem, uz kuriem pamatojoties kreditors var pieprasīt maksātnespējas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ja tam ar tiesas spriedumu ir pasludināts maksātnespējas process, ir ierosināts vai tiek īstenots tiesiskās aizsardzības process vai ja saimnieciskās darbības veicējs atbilst normatīvajos aktos noteiktajiem kritērijiem, uz kuriem pamatojoties kreditors var pieprasīt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nosacījumu, vai uzņēmums neatbilst normatīvajos aktos noteiktajiem kritērijiem, lai tam pēc kreditoru pieprasījuma pieprasītu maksātnespējas procedūru, nav iespējams pārliecināties publiski pieejamos resursos un ir jāvērtē pamatojoties uz uzņēmuma apliecinājumu, lūdzam precizēt noteikumu 18.1.apakšpunktu, paredzot atbalsta pretendentam šāda apliecinājuma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iebildumu un skaidro, ka piešķirot atbalstu, minētais kritērijs tiek izvērtēts un nav nepieciešams papildus pieprasīt minēto informāciju apliecinājuma veidā no klienta, kas rada papildus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ja tam ar tiesas spriedumu ir pasludināts maksātnespējas process, ir ierosināts vai tiek īstenots tiesiskās aizsardzības process vai ja saimnieciskās darbības veicējs ir iesniedzis apliecinājumu, ka tas atbilst normatīvajos aktos noteiktajiem kritērijiem, uz kuriem pamatojoties kreditors var pieprasīt maksātnespējas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Subsīdijas ekvivalentu lielajam saimnieciskās darbības veicējam aprēķina, piemērojot Komisijas regulas Nr. 1407/2013 4. panta 6. punkta "b" apakšpunkta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veidojas situācija, ka subsīdijas ekvivalenta aprēķina nosacījumos nav ietvertas mazas vidējās kapitalizācijas sabiedrības un vidējās kapitalizācijas sabiedrības, līdz ar to aicinām šo noteikumu 3.3.apakšpunktā noteikt, ka minētās sabiedrības šo noteikumu ietvaros ir pielīdzināmas lieliem saimnieciskās darbības veicējiem.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attiecīgi precizējot 21.punktu.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Subsīdijas ekvivalentu lielajam saimnieciskās darbības veicējam un mazas vidējās kapitalizācijas un vidējās kapitalizācijas sabiedrībai aprēķina, piemērojot Komisijas regulas Nr. 1407/2013 4. panta 6. punkta "b" apakšpunkta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Sabiedrībai "Altum" ir pieejams finansējums pārvaldības izdevumu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Nr. 383 32. punktu ar atsauci uz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68. panta 4. punktā noteiktajām robežvērtībām.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vadības izmaksas ES fondu 2021.-2027.gada plānošanas ietvaros tiks noteiktas līdzdalības fonda MKN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projekts papildināts ar 32.3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1.2.2.2. un 1.2.3.4. pasākuma ietvaros Sabiedrības "Altum" pārvaldības izmaksas nosaka atbilstoši Ministru kabineta noteikumiem par "Eiropas Savienības kohēzijas politikas programmas 2021.-2027. gadam finanšu instrumentu kopīgie īstenošanas noteikumi" 31.2.apakšpunktam.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Sabiedrībai "Altum" ir pieejams finansējums pārvaldības izdevumu segšanai: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Noslēguma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sniegts skaidrojums, ka 1.2.3.4. pasākuma un 1.2.2.2. pasākuma ietvaros pieejamais atbalsts būs pieejams tikai pēc 2023.gada 31.decembra vai brīdī, kad 3.1.1.1. un 13.1.1.1. pasākumam pieejamais finansējums pilnībā ir apgūts. Un, ka noteikumi ir papildināti ar pārejas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minēto pārejas noteikumu.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pārejas nosacījumu (44.punkts)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Noslēguma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mērķa aprakstu, teikuma beigās papildinot ar vārdu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izstrādāts, lai Ministru kabineta 2020. gada 16. jūnija noteikumos Nr. 383 "Noteikumi par garantijām saimnieciskās darbības veicējiem konkurētspējas uzlabošanai"" iestrādātu normas, lai atbilstoši šiem noteikumiem komersantu garantijas varētu sniegt arī Eiropas Savienības kohēzijas politikas programmas 2021.-2027.gadam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papildinājums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š.g. 29.jūnija e-pasta vēstulē Nr.5.1/25/21/36 sniegto argumentāciju, ņemot vērā, ka valsts budžeta līdzekļi ir ierobežoti, kā arī ES fondu līdzfinansējumu var nodrošināt nacionālā līmenī arī no privātā līdzfinansējuma, lūdzam precizēt anotācijā (arī anotācijas 3.sadaļā) sniegto informāciju, aizstājot valsts budžeta līdzfinansējumu ar privāto līdzfinansējumu.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skaidrojam, ka Ekonomikas ministrija ir iepazinusies ar Finanšu ministrijas priekšlikumu un skaidro - atbilstoši Nacionālās industriālās politikas pamatnostādnēm 2021-2027.gadam (turpmāk – NIP) Latvijas ekonomikas virzībai uz inovatīvu un zināšanās balstītu ekonomikas modeli ir vairāki šķēršļi, kuru pārvarēšanai ir nepieciešama spēcīga un koordinēta valsts intervence, tādējādi stiprinot valsts konkurētspēju. Lai novērstu tirgus nepilnību apjomus rīcības virzienā Finanšu pieejamība NIP paredz, ka līdz 2027.gadam jānovērš tirgus nepilnību 1.7 miljr. EUR apmērā kreditēšanas un garantiju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Eiropas Savienības kohēzijas politikas programmas 2021.–2027. gadam (turpmāk - Politikas programma) specifiskajiem atbalsta mērķiem 1.2.1., 1.2.2., 1.2.3., 2.2.1., 2.1.4., 6.1.1. kopumā plānots kopējais investīciju apjoms finanšu instrumentu veidā 506 397 484 euro apmērā, no kuriem plānots, ka 15% jeb 75 959 626 euro tiek piesaistīts valsts budžeta finansējums. Papildus minētajam apjomam plānots piesaistīt kopumā vairāk kā 399 455 245 euro apmērā privāto līdzfinansējumu. Tāpat, ņemot vērā plānoto kopējo finansējuma apjomu ir noteikti Politikas programmas rezultatīvie un iznākuma rādītāji, Norādām, ka Ekonomikas ministrija Politikas programmas izstrādes laikā ir vairākkārt vērsusies Finanšu ministrijā ar jautājumu, vai ir plānojama valsts budžeta daļa Ekonomikas ministrija SAM pasākumos, ņemot vērā, ka netika saņemti iebildumi un līdz šim, kad finanšu instrumentu virsnoteikumi un atbalsta programmas ir gala izstrādes stadijā, nav saņemti šādi iebildumi, ir saglabājama valsts budžeta līdzekļu piesaiste.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papildus vērst uzmanību, ka ņemot vērā, ka Latvijai tika samazināta sākotnēji plānotā Politikas programmas aploksne par vairāk kā 20 %, Ekonomikas ministrija noteica sasniedzamos rezultatīvos un iznākuma rādītājus, rēķinoties, ka būs pieejama arī valsts budžeta finansējuma daļa. Gadījumā, ja šobrīd tiek lemts par valsts budžeta nepiesaistīšanu, Ekonomikas ministrija nevarēs izpildīt Politikas programmā noteiktos rādītāju apmērus.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atbilstoši deklarācijai par Ministru kabineta iecerēto darbību, kas parakstīta 2022.gada 14.decembrī, Krišjāņa Kariņa vadītās valdības mērķis ir Latvijas ekonomikas transformācija labākai dzīvei Latvijā. Pēdējo gadu laikā īstenotas būtiskas pārmaiņas investīciju piesaistē uzņēmējiem, kas ielikušas nozīmīgus pamatus nākotnes attīstībai. Lai arī pēdējos gados privātās investīcijas palielinās, to līmenis ir zemāks nekā pirms globālās finanšu krīzes un arī zemāks nekā vairākumā ES valstu, tai skaitā Lietuvā un Igaunijā. Lielā mērā to ietekmē vājā kreditēšana, zems pieprasījums un liela nenoteiktība. Turklāt Latvijas analītiķi atzīmē, ka uzņēmumiem izsniegtajiem aizdevumiem ir augsts procentu likmju kāpuma risks, ko ietekmēs ECB īstenotās ierobežojošās monetārās politikas pasākumi inflācijas apkarošanai. Atsaucoties uz Latvijas ekonomikas attīstības pārskata 2022 gadam[1] minēto, investīciju dinamiku turpmāk ietekmēs starptautiskās vides nenoteiktība. Pozitīvi investēšanas dinamiku ietekmēs ES finansējums, kas ir nozīmīgs investīciju līmeņa kāpināšanas stimuls, tomēr jāatzīmē, ka tuvākajos gados investīcijas būtiski ierobežos gan straujais inflācijas kāpums, gan kreditēšanas sadārdzināšana, ECB īstenojot ierobežojošo monetāro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Ekonomikas ministrijas ieskatā, Latvijai ir finansiāli jāiesaistās atbalsta pasākumu īstenošanā, lai atvieglotu uzņēmējdarbību Latvijā un uzlabotu Latvijas tautsaimniecības attīstību, attiecīgi novirzot arī līdz šim plānoto valsts budžeta 75 959 626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ES fondu 2021.-2027. gada plānošanas perioda 1.2.3.4. pasākuma kopējais plānotais un pieejamais finansējums atbilstoši Ministru kabineta noteikumiem </w:t>
            </w:r>
            <w:r w:rsidR="00000000" w:rsidRPr="00000000" w:rsidDel="00000000">
              <w:rPr>
                <w:i w:val="1"/>
                <w:rtl w:val="0"/>
              </w:rPr>
              <w:t xml:space="preserve">"Eiropas Savienības kohēzijas politikas programmas 2021.-2027. gadam finanšu instrumentu kopīgie īstenošanas noteikumi” </w:t>
            </w:r>
            <w:r w:rsidR="00000000" w:rsidRPr="00000000" w:rsidDel="00000000">
              <w:rPr>
                <w:rtl w:val="0"/>
              </w:rPr>
              <w:t xml:space="preserve">ir 35 000 000 euro, t.sk. ERAF finansējums 29 750 000 euro un valsts budžeta finansējums 5 250 000 euro, līdz ar to nav korekti šī noteikumu projekta anotācijas 1.3. un 3. sadaļā norādīt: </w:t>
            </w:r>
            <w:r w:rsidR="00000000" w:rsidRPr="00000000" w:rsidDel="00000000">
              <w:rPr>
                <w:i w:val="1"/>
                <w:rtl w:val="0"/>
              </w:rPr>
              <w:t xml:space="preserve">"1.2.3.4. pasākumam kopumā pieejams finansējums 25 000 000 euro apmērā, tai skaitā 21 250 000 euro ERAF finansējums un  8 500 000 EUR valsts budžeta finansējums.". </w:t>
            </w:r>
            <w:r w:rsidR="00000000" w:rsidRPr="00000000" w:rsidDel="00000000">
              <w:rPr>
                <w:rtl w:val="0"/>
              </w:rPr>
              <w:t xml:space="preserve">Lūdzam precizēt anotāciju, norādot, ka 1.2.3.4. pasākuma kopējais finansējums ir 35 000 000 euro, no kuriem 10 000 000 euro ir paredzēti, piemēram, portfeļgarantijām un pārējie 25 000 000 euro, piemēram, pārējām garantijām pilna cikla uzņēmējdarbībai. Attiecīgi lūdzam precizēt arī saistītos noteikumu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anotācijas 1.3. sadaļā zem 1. punkta iekļaujot informāciju, ka, ES fondu plānošanas periodā 2021.-2027. gadā 1.2.3.4. pasākuma kopējais plānotais un pieejamais finansējums atbilstoši Ministru kabineta noteikumiem "Eiropas Savienības kohēzijas politikas programmas 2021.-2027. gadam finanšu instrumentu kopīgie īstenošanas noteikumi” ir 34 543 165 euro, t.sk. ERAF finansējums 29 361 690 euro un valsts budžeta līdzfinansējums 5 181 475 euro apmērā, no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9 869 476 euro t.sk. ERAF finansējums 8 389 055 euro apmērā un valsts līdzfinansējums 1 480 421 euro apmērā ir paredzēti Ministru kabineta 2017. gada 5. septembra noteikumiem Nr. 537 "Noteikumi par portfeļgarantijām sīko (mikro), mazo un vidējo saimnieciskās darbības veicēju – juridisko personu – kreditēšanas veicināšanai" (noteikumu grozījumi par papildus finansējumu 2021-2027 ES fondu plānošanas periodā ir atvērti un pieejami Tiesību aktu portālā ar lietas Nr.23-TA-337)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24 673 689 euro t.sk, ERAF finansējums 20 972 635 euro un valsts budžeta līdzfinansējums 3 701 054 euro apmērā ir paredzēti MK noteikumiem Nr. 383.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1.2.2.2. pasākumam pieejams finansējums 4 934 738 euro apmērā, tai skaitā ERAF finansējums 4 194 527 euro un valsts budžeta līdzfinansējums 740 211 euro apmērā.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pie “Risinājuma apraksta” minēts, ka 1.2.3.4. pasākumam kopumā pieejams finansējums 25 000 000 euro apmērā, tai skaitā  21 250 000 euro ERAF finansējums un  </w:t>
            </w:r>
            <w:r w:rsidR="00000000" w:rsidRPr="00000000" w:rsidDel="00000000">
              <w:rPr>
                <w:b w:val="1"/>
                <w:rtl w:val="0"/>
              </w:rPr>
              <w:t xml:space="preserve">8 500 000 euro</w:t>
            </w:r>
            <w:r w:rsidR="00000000" w:rsidRPr="00000000" w:rsidDel="00000000">
              <w:rPr>
                <w:rtl w:val="0"/>
              </w:rPr>
              <w:t xml:space="preserve"> valsts budžeta finansējums, savukārt anotācijas “Budžeta” sadaļas 6. punktā norādīts, ka 1.2.3.4. pasākumam kopumā pieejams finansējums 25 000 000 euro apmērā, tai skaitā  21 250 000 euro ERAF finansējums un  </w:t>
            </w:r>
            <w:r w:rsidR="00000000" w:rsidRPr="00000000" w:rsidDel="00000000">
              <w:rPr>
                <w:b w:val="1"/>
                <w:rtl w:val="0"/>
              </w:rPr>
              <w:t xml:space="preserve">3 750 000 euro</w:t>
            </w:r>
            <w:r w:rsidR="00000000" w:rsidRPr="00000000" w:rsidDel="00000000">
              <w:rPr>
                <w:rtl w:val="0"/>
              </w:rPr>
              <w:t xml:space="preserve">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minēto informāciju par valsts budžeta finansējumu salāgot.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par budžetu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5.1.apakšpunktā precizēto finansiālo ietekmi norādīt ar “-” 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 ar mīnus zīmi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sniegt skaidrojumu tikai par noteikuma projektā paredzētajām finansējuma izmaiņām (1.2.3.4. pasākumam un 1.2.2.2. pasākumam) nevis par kopējo programmai pieejamo finansējuma apmēru. Papildus lūdzam izmaiņas 5.1.punktā tāpat kā 5.punktā norādīt ar mīnus 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precizējumi anotācijas 3.sadaļā.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1.-5.punktos norādītā finansējuma apmēru, ievērojot, ka 1., 1.1.punktā jānorāda ERAF finansējuma daļa, kas ir 85%, 2. un 2.1.punktā kopējais pieejamais finansējuma apmērs, savukārt 3., 3.1., 5. un 5.1.punktā jāatspoguļo valsts budžeta finansējuma daļa, kas ir 15%. Vienlaikus lūdzam papildināt 6.punktu ar informāciju par finansējuma sadalījumu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anotācijas 3.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tabulā norādītās projekta vienības, kurās ieviestas Eiropas Savienības regulu vienības, ņemot vērā numerācijas izmaiņas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5.sadaļā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1.4.vadlīniju "Vadlīnijas Ministru kabineta noteikumu par specifiskā atbalsta mērķa īstenošanu izstrādei Eiropas Savienības fondu 2021.—2027. gada plānošanas periodā" 15.punktu, lūdzam papildināt anotācijas 8.2. sadaļu par pasākuma ietekmi uz horizontālo principu "Vienlīdzība, iekļaušana, nediskriminācija un pamattiesību ievērošana", “Klimatdrošināšana” , “Energoefektivitāte pirmajā vietā”  un “Nenodarīt būtisku kaitējumu”.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precizējumi anotācijas 8. sadaļā pie citas informācijas skaidrojot, ka Ņemot vērā pasākuma būtību, pasākuma atbalstītajām darbībām ir nebūtiska paredzamā ietekme uz vides mērķiem, ņemot vērā gan tiešās, gan primārās netiešās sekas visā aprites ciklā. Pasākuma ietvaros plānotās atbalstāmās darbības nerada siltumnīcefekta gāzu (SEG) emisijas. Tāpat netiek plānoti ieguldījumi, kas saistīti ar fosilo kurināmo (ieskaitot pakārtoto izmantošanu) un netiek plānotas darbības saskaņā ar emisijas kvotu tirdzniecības sistēmu plānotajām CO2 ekvivalenta emisijām, kā arī pasākuma mērķi neizraisa pašreizējās klimata un gaidāmās klimata nelabvēlīgās ietekmes palielināšanos uz pašu darbību vai citu cilvēkiem, dabu vai aktīviem. Tā par pasākums nekaitē ūdensobjektu labam stāvoklim vai to labam ekoloģiskajam potenciālā, ieskaitot virszemes ūdeņus un gruntsūdeņus vai jūras ūdeņu labam vides stāvoklim, kā arī pasākums būtiski nepalielina atkritumu rašanos, sadedzināšanu vai apglabāšanu. Tāpat netiek plānoti ieguldījumi atkritumu apglabāšanas iekārtās poligonos, mehāniskās bioloģiskās attīrīšanas un atkritumu sadedzināšanas iekārtās, kā arī darbībās, kurās ilgstoša atkritumu apglabāšana var radīt ilgtermiņa kaitējumu videi (piemēram, kodolatkritumi). Tādējādi tas tiek uzskatīts par atbilstīgu Nenodarīt būtisku kaitējumu attiecībā uz attiecīgajiem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Eiropas Savienību fondu 2021.-2027.gada  plānošanas perioda ietvaros izstrādātās atbalsta programmas ir vērstas uz uzņēmējdarbības uzsākšanu un attīstību, nodrošinot atbalstu visos uzņēmumu jeb juridisko personu dzīves cikla posmos. Lai sniegtu atbalstu, atbalsta programmu Akciju sabiedrība “Attīstības finanšu institūcija Altum” - vērtē biznesa projekta komercializācijas iespējas. Lēmumu par atbalsta piešķiršanu pieņem, pamatojoties uz saimnieciskās darbības veicēju iesniegto pieteikumu, kurā ietverts biznesa projekta apraksts, kā arī cita atbalsta programmu īstenotāju norādītā informācija. Vienlīdzības un nediskriminācijas principa ievērošana tiek ievērota, sniedzot atbalstu finanšu instrumentu veidā jebkuram uzņēmējam, kuram ir vēlme uzsākt uzņēmējdarbību un kuram ir biznesa ideja, bet tam nav nepieciešamo priekšizināšanu vai apgrozāmo līdzekļu un finansējums ieguldījumiem biznesa projekta attīstībai horizontālā principā.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horizontālais princips tika ievērots, nodrošinot, ka atbalsts pieejams neatkarīgi no saimnieciskās darbības veicēja vai to amatpersonu vai patiesā labuma guvēju dzimuma, rases, ādas krāsas, etniskās vai sociālās izcelsmes, ģenētisko īpatnību, valodas, reliģijas vai pārliecības, politisko vai jebkuru citu uzskatu dēļ, nacionālās minoritātes, īpašuma, izcelsmes, invaliditātes, vecuma vai dzimumorientācijas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priekšlikumu un atkārtoti lūdzam papildināt programmas rādītāju novērtējuma projektu un rast saisti 2. punktā norādītajai programmas ietekmei ar 1. punktā norādīto kopējo programmas finansējumu, lai nodrošinātu informācijas izsekojamību (izziņā sniegtais skaidrojums nav atbilstošs).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garantiju finanšu instrumenta gadījumā, publiskā finansējuma ietekme pārsniedz piešķirtā publiskā finansējuma nominālo apmēru (tiek multiplicēta).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programmas rādītāju novērtējuma projektu, nodrošinot 1. punktā un zemsvītras atsaucē Nr. 3 norādītā kopējā programmas finansējuma atbilstību noteikumu projektam “Eiropas Savienības kohēzijas politikas programmas 2021.–2027. gadam finanšu instrumentu kopīgie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24 673 689 EUR 1.2.3.4. pasākuma “Garantijas, portfeļgarantijas pilna cikla uzņēmējdarbībai” ietvaros ( t.sk. valsts budžets 3 701 054 EUR, ERAF 20 972 635 EUR finansējums) un 4 934 738 EUR 1.2.2.2. pasākuma “Individuālās garantijas digitalizācijai un automatizācijai” ietvaros (t.sk. valsts budžets 740 211 EUR, ERAF 4 194 527 EUR). Finansējums norādīts noteikumu projektā “Eiropas Savienības kohēzijas politikas programmas 2021.–2027. gadam finanšu instrumentu kopīgie īstenošanas noteikumi” (22-TA-2912).  1.2.3.4. pasākumam “Garantijas, portfeļgarantijas pilna cikla uzņēmējdarbībai” noteikumu projektā “Eiropas Savienības kohēzijas politikas programmas 2021.–2027. gadam finanšu instrumentu kopīgie īstenošanas noteikumi” (22-TA-2912) finansējums norādīts kopā gan garantiju programmas daļai, gan portfeļgarantiju programmas daļai.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to, ka sabiedrībai "Altum" nav saistošas ES Kapitāla prasību direktīvā Nr.2013/36/ES (CRD IV) un Kapitāla prasību regulā Nr.575/2013 (CRR 575/2013) noteiktās prasības, lūdzam programmas rādītāju novērtējuma projekta 3.2.1. punktā atsaukties uz šīm prasībām kā etalona rādītāju.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pielikums (programmas rādītāju novērtējuma 3.2.1 punkts) un 6.zemsvītras 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programmas rādītāju novērtējuma projektu un rast saisti 1. punktā norādītajam kopējam programmas finansējumam ar MK noteikumos Nr. 383 noteikto programmas finansējumu, lai nodrošinātu informācijas izsekojamību.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3. un 5. zemsvītras atsaucē, norādot programmai pieejamo kopējo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programmas rādītāju novērtējuma projektu un rast saisti 2. punktā norādītajai programmas ietekmei ar 1. punktā norādīto kopējo programmas finansējumu, lai nodrošinātu informācijas izsekojamību.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minētie sasniedzamie rezultatīvie rādītāji atbilstoši Eiropas Savienības kohēzijas politikas programmas 2021. – 2027. gadam finanšu instrumentu kopīgie īstenošanas noteikumi” 1.2.3.4. pasākumam “Garantijas, portfeļgarantijas pilna cikla uzņēmējdarbībai” ir noteikti līdzdalības fondu regulējošajos horizontālajos noteikumos. Attiecīgi precizēts programmas rādītāju novērtējums arī 3.zemsvītras atsaucē.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Eiropas Savienības kohēzijas politikas programmas 2021.-2027.gadam 1.2.3. specifiskā atbalsta mērķa "Veicināt ilgtspējīgu izaugsmi, konkurētspēju un darba vietu radīšanu MVU, tostarp ar produktīvām investīcijām" 1.2.3.4. pasākumu “Garantijas, portfeļgarantijas pilna cikla uzņēmējdarbībai (turpmāk – 1.2.3.4. pasākums)” un 1.2.2. specifiskā atbalsta mērķa “Izmantot digitalizācijas priekšrocības uzņēmējdarbības attīstībai ” 1.2.2.2. Individuālās garantijas digitalizācijai un automatizācijai (turpmāk – 1.2.2.2. pasākums) tiešo finanšu instrumentu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šo noteikumu ietvaros nav noteikta skaidra demarkācija starp 1.2.2.2.pasākumu "Individuālās garantijas digitalizācijai un automatizācijai" un 1.2.3.4.pasākumu “Garantijas, portfeļgarantijas pilna cikla uzņēmējdarbībai”. Lūdzam noteikt skaidrus nosacījumus, kurus jāizpilda, lai saņemtu atbalstu vienā vai otrā pasākumā.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pirmkārt, tiek nodrošināts, ka par vienām un tām pašām attiecināmajām izmaksām komersants nevar saņemt atbalstu abu pasākumu ietvaros, kā arī papildus tiks izstrādāts palīgmateriāls, lai noteiktu, kuros gadījumos komersants par pasākumiem digitalizācijas un automatizācijas veicināšanai tiks atbalsīts 1.2.2.2. pasākuma ietvaros, savukārt pārējos gadījumos, atbalsts tiks sniegts 1.2.3.4. pasākuma ietvaros kontekstā ar Darbības programmā definētajiem 1.2.2.2. pasākuma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Eiropas Savienības kohēzijas politikas programmas 2021.-2027.gadam 1.2.2. specifiskā atbalsta mērķa “Izmantot digitalizācijas priekšrocības uzņēmējdarbības attīstībai” 1.2.2.2. Individuālās garantijas digitalizācijai un automatizācijai (turpmāk – 1.2.2.2. pasākums) un 1.2.3. specifiskā atbalsta mērķa "Veicināt ilgtspējīgu izaugsmi, konkurētspēju un darba vietu radīšanu MVU, tostarp ar produktīvām investīcijām" 1.2.3.4. pasākumu “Garantijas, portfeļgarantijas pilna cikla uzņēmējdarbībai (turpmāk – 1.2.3.4. pasākums)” tiešo finanšu instrumentu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Eiropas Savienības kohēzijas politikas programmas 2021.-2027.gadam 1.2.3. specifiskā atbalsta mērķa "Veicināt ilgtspējīgu izaugsmi, konkurētspēju un darba vietu radīšanu MVU, tostarp ar produktīvām investīcijām" 1.2.3.4. pasākumu “Garantijas, portfeļgarantijas pilna cikla uzņēmējdarbībai (turpmāk – 1.2.3.4. pasākums)” un 1.2.2. specifiskā atbalsta mērķa “Izmantot digitalizācijas priekšrocības uzņēmējdarbības attīstībai ” 1.2.2.2. Individuālās garantijas digitalizācijai un automatizācijai (turpmāk – 1.2.2.2. pasākums) tiešo finanšu instrumentu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1.2.apakšpunktu, to izsakot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Eiropas Savienības kohēzijas politikas programmas 2021.-2027.gadam 1.2.2. specifiskā atbalsta mērķa “Izmantot digitalizācijas priekšrocības uzņēmējdarbības attīstībai” 1.2.2.2. pasākumu "Individuālās garantijas digitalizācijai un automatizācijai" (turpmāk – 1.2.2.2. pasākums) un 1.2.3. specifiskā atbalsta mērķa "Veicināt ilgtspējīgu izaugsmi, konkurētspēju un darba vietu radīšanu MVU, tostarp ar produktīvām investīcijām" 1.2.3.4. pasākumu “Garantijas, portfeļgarantijas pilna cikla uzņēmējdarbībai" (turpmāk – 1.2.3.4. pasākums) tiešo finanšu instrumentu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1.2.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Eiropas Savienības kohēzijas politikas programmas 2021.-2027.gadam 1.2.2. specifiskā atbalsta mērķa “Izmantot digitalizācijas priekšrocības uzņēmējdarbības attīstībai” 1.2.2.2. Individuālās garantijas digitalizācijai un automatizācijai (turpmāk – 1.2.2.2. pasākums) un 1.2.3. specifiskā atbalsta mērķa "Veicināt ilgtspējīgu izaugsmi, konkurētspēju un darba vietu radīšanu MVU, tostarp ar produktīvām investīcijām" 1.2.3.4. pasākumu “Garantijas, portfeļgarantijas pilna cikla uzņēmējdarbībai (turpmāk – 1.2.3.4. pasākums)” tiešo finanšu instrumentu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mazas vidējās kapitalizācijas un vidējās kapitalizācijas  sabiedrības, kas atbilst Eiropas Parlamenta un Padomes 2015.gada 25.jūnija Regulas (ES) 2015/1017 par Eiropas Stratēģisko investīciju fondu, Eiropas Investīciju konsultāciju centru un Eiropas Investīciju projektu portālu, ar ko groza Regulas (ES) Nr. 1291/2013 un (ES) Nr. 1316/2013 – Eiropas Stratēģisko investīciju fonds 2.panta 6. un 7.punkti ir attiecināms tikai uz 1.2.2.2. un 1.2.3.4.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projektā izteikto 3.3. apakšpunktu. Proti, aicinām korekti izteikt atsauci uz regulas vienību (proti, "kas atbilst Eiropas Parlamenta un Padomes 2015.gada 25.jūnija Regulas (ES) 2015/1017 par Eiropas Stratēģisko investīciju fondu, Eiropas Investīciju konsultāciju centru un Eiropas Investīciju projektu portālu, ar ko groza Regulas (ES) Nr. 1291/2013 un (ES) Nr. 1316/2013 – Eiropas Stratēģisko investīciju fonds</w:t>
            </w:r>
            <w:r w:rsidR="00000000" w:rsidRPr="00000000" w:rsidDel="00000000">
              <w:rPr>
                <w:u w:val="single"/>
                <w:rtl w:val="0"/>
              </w:rPr>
              <w:t xml:space="preserve"> 2.panta 6. un 7.punktam</w:t>
            </w:r>
            <w:r w:rsidR="00000000" w:rsidRPr="00000000" w:rsidDel="00000000">
              <w:rPr>
                <w:rtl w:val="0"/>
              </w:rPr>
              <w:t xml:space="preserve">"), kā arī redakcionāli precizēt teikuma beigu daļu (piemēram, veidojot iekavas), lai ir skaidrs, kas tieši ir attiecināms tikai uz 1.2.2.2. un 1.2.3.4. pasākumu, jo no pašreizējā formulējuma tas nav nepārprotami skaidrs.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Vienlaikus skaidrojam, ka konkrēti 3.3. apakšpunkts runā par nosacījumu tikai 1.2.2.2. un 1.2.3.4. pasākumam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mazas vidējās kapitalizācijas un vidējās kapitalizācijas  sabiedrības, kas atbilst Eiropas Parlamenta un Padomes 2015.gada 25.jūnija Regulas (ES) 2015/1017 par Eiropas Stratēģisko investīciju fondu, Eiropas Investīciju konsultāciju centru un Eiropas Investīciju projektu portālu, ar ko groza Regulas (ES) Nr. 1291/2013 un (ES) Nr. 1316/2013 – Eiropas Stratēģisko investīciju fonds 2.panta 6. un 7.punktam ir attiecināms tikai uz 1.2.2.2. un 1.2.3.4. pasākumiem.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1.2.3.4. pasākumam un 1.2.2.2. pasākumam pieejamo finansējumu sabiedrība “Altum” izsniedz izmantojot Eiropas Savienības fondu 2021. – 2027. gada plānošanas perioda plānoto finansējumu, kas atbilstoši normatīvajam aktam ir noteikts Eiropas Savienības kohēzijas politikas programmas 2021.-2027.gadam finanšu instrumentu īstenošanas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6. punktā izteiktajā MK noteikumu Nr. 383 7.5. apakšpunktā ietverto vārdu "atbilstoši normatīvajam aktam" nepieciešamību un pēc nepieciešamības tos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vārdi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1.2.3.4. pasākumam un 1.2.2.2. pasākumam pieejamo finansējumu sabiedrība “Altum” izsniedz izmantojot Eiropas Savienības fondu 2021. – 2027. gada plānošanas perioda plānoto finansējumu, kas noteikts Eiropas Savienības kohēzijas politikas programmas 2021.-2027.gadam finanšu instrumentu īstenošanas noteikumos.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16.14. Eiropas Savienības fondu projektu līdzfinansēšanai, tai skaitā priekšfinansēšanai saskaņā ar Komisijas regulas Nr. 2021/1060 58. panta 7.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projektu līdzfinansēšana nav uzskatāma par priekšfinansēšanu, lūdzam vārdus "tai skaitā" aizstāt ar vārdiem "kā arī".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redakcionāls precizējums aizstājot vārdus "tai skaitā" ar vārdiem "kā arī"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16.14. Eiropas Savienības fondu projektu līdzfinansēšanai, kā arī priekšfinansēšanai saskaņā ar Komisijas regulas Nr. 2021/1060 58. panta 7.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ja tam ar tiesas spriedumu ir pasludināts maksātnespējas process, ir ierosināts vai tiek īstenots tiesiskās aizsardzības process vai ja saimnieciskās darbības veicējs ir iesniedzis apliecinājumu, ka tas atbilst normatīvajos aktos noteiktajiem kritērijiem, uz kuriem pamatojoties kreditors var pieprasīt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projektā izteikto 18.1. apakšpunktu un precizēt projektu vai sniegt skaidrojumu. No 18.1. apakšpunkta izriet, ka garantiju </w:t>
            </w:r>
            <w:r w:rsidR="00000000" w:rsidRPr="00000000" w:rsidDel="00000000">
              <w:rPr>
                <w:u w:val="single"/>
                <w:rtl w:val="0"/>
              </w:rPr>
              <w:t xml:space="preserve">nepiešķir</w:t>
            </w:r>
            <w:r w:rsidR="00000000" w:rsidRPr="00000000" w:rsidDel="00000000">
              <w:rPr>
                <w:rtl w:val="0"/>
              </w:rPr>
              <w:t xml:space="preserve">, ja saimnieciskās darbības veicējs ir iesniedzis apliecinājumu, ka tas </w:t>
            </w:r>
            <w:r w:rsidR="00000000" w:rsidRPr="00000000" w:rsidDel="00000000">
              <w:rPr>
                <w:u w:val="single"/>
                <w:rtl w:val="0"/>
              </w:rPr>
              <w:t xml:space="preserve">atbilst</w:t>
            </w:r>
            <w:r w:rsidR="00000000" w:rsidRPr="00000000" w:rsidDel="00000000">
              <w:rPr>
                <w:rtl w:val="0"/>
              </w:rPr>
              <w:t xml:space="preserve"> normatīvajos aktos noteiktajiem kritērijiem, uz kuriem pamatojoties kreditors var pieprasīt maksātnespējas procedūru. Lūdzam izvērtēt un vai nu pamatot anotācijā šāda nosacījuma iesniegt attiecīga satura apliecinājumu pamatotību, vai tā vietā projektā attiecīgā vietā ietvert nosacījumu, ka garantiju </w:t>
            </w:r>
            <w:r w:rsidR="00000000" w:rsidRPr="00000000" w:rsidDel="00000000">
              <w:rPr>
                <w:u w:val="single"/>
                <w:rtl w:val="0"/>
              </w:rPr>
              <w:t xml:space="preserve">piešķir</w:t>
            </w:r>
            <w:r w:rsidR="00000000" w:rsidRPr="00000000" w:rsidDel="00000000">
              <w:rPr>
                <w:rtl w:val="0"/>
              </w:rPr>
              <w:t xml:space="preserve">, ja saimnieciskās darbības veicējs ir iesniedzis apliecinājumu, ka tas </w:t>
            </w:r>
            <w:r w:rsidR="00000000" w:rsidRPr="00000000" w:rsidDel="00000000">
              <w:rPr>
                <w:u w:val="single"/>
                <w:rtl w:val="0"/>
              </w:rPr>
              <w:t xml:space="preserve">neatbilst</w:t>
            </w:r>
            <w:r w:rsidR="00000000" w:rsidRPr="00000000" w:rsidDel="00000000">
              <w:rPr>
                <w:rtl w:val="0"/>
              </w:rPr>
              <w:t xml:space="preserve"> normatīvajos aktos noteiktajiem kritērijiem, uz kuriem pamatojoties kreditors var pieprasīt maksātnespējas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par apliecinājuma iesniegšanu ir nepieciešams, lai nodrošinātu korektu un visaptverošu Komisijas regulas Nr.651/2014 2.panta 18.punkta c) apakšpunktā ietvertā nosacījuma piemērošanu. Skaidrojam, ka par iepriekšminēto nosacījumu atbalsta sniedzējam nav iespējams pārliecināties publiski pieejamos resursos un nosacījums ir jāvērtē, pamatojoties uz uzņēmuma iesniegtu apliecinājumu.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ja tam ar tiesas spriedumu ir pasludināts maksātnespējas process, ir ierosināts vai tiek īstenots tiesiskās aizsardzības process vai ja saimnieciskās darbības veicējs ir iesniedzis apliecinājumu, ka tas atbilst normatīvajos aktos noteiktajiem kritērijiem, uz kuriem pamatojoties kreditors var pieprasīt maksātnespējas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ja tam ar tiesas spriedumu ir pasludināts maksātnespējas process, ir ierosināts vai tiek īstenots tiesiskās aizsardzības process vai ja saimnieciskās darbības veicējs ir iesniedzis apliecinājumu, ka tas atbilst normatīvajos aktos noteiktajiem kritērijiem, uz kuriem pamatojoties kreditors var pieprasīt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18.1. apakšpunktā tiek uzskaitīti nosacījuma par atbalsta nesniegšanu grūtībās nonākušiem uzņēmumiem (GNU) kritēriji, aicinām prasību par apliecinājuma par saimnieciskās darbības veicēja neatbilstību normatīvajos aktos noteiktajiem kritērijiem, uz kuriem pamatojoties kreditors var pieprasīt maksātnespējas procedūru, iesniegšanu noteikumos noteikt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priekšlikumu un skaidro, ka nav nepieciešams izteikt, kā atsevišķu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ja tam ar tiesas spriedumu ir pasludināts maksātnespējas process, ir ierosināts vai tiek īstenots tiesiskās aizsardzības process vai ja saimnieciskās darbības veicējs ir iesniedzis apliecinājumu, ka tas atbilst normatīvajos aktos noteiktajiem kritērijiem, uz kuriem pamatojoties kreditors var pieprasīt maksātnespējas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w:t>
            </w:r>
            <w:r w:rsidR="00000000" w:rsidRPr="00000000" w:rsidDel="00000000">
              <w:rPr>
                <w:i w:val="1"/>
                <w:rtl w:val="0"/>
              </w:rPr>
              <w:t xml:space="preserve">De minimis</w:t>
            </w:r>
            <w:r w:rsidR="00000000" w:rsidRPr="00000000" w:rsidDel="00000000">
              <w:rPr>
                <w:rtl w:val="0"/>
              </w:rPr>
              <w:t xml:space="preserve"> atbalsts saimnieciskās darbības veicējam tiek piešķirts ar dienu, kad pieņemts lēmums par garantijas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40.punktā tiek izmantots termins "</w:t>
            </w:r>
            <w:r w:rsidR="00000000" w:rsidRPr="00000000" w:rsidDel="00000000">
              <w:rPr>
                <w:i w:val="1"/>
                <w:rtl w:val="0"/>
              </w:rPr>
              <w:t xml:space="preserve">Lēmumu par de minimis atbalsta piešķiršanu</w:t>
            </w:r>
            <w:r w:rsidR="00000000" w:rsidRPr="00000000" w:rsidDel="00000000">
              <w:rPr>
                <w:rtl w:val="0"/>
              </w:rPr>
              <w:t xml:space="preserve">", savukārt noteikumu 22.punktā tiek lietots termin "</w:t>
            </w:r>
            <w:r w:rsidR="00000000" w:rsidRPr="00000000" w:rsidDel="00000000">
              <w:rPr>
                <w:i w:val="1"/>
                <w:rtl w:val="0"/>
              </w:rPr>
              <w:t xml:space="preserve">Lēmums par garantijas piešķiršanu</w:t>
            </w:r>
            <w:r w:rsidR="00000000" w:rsidRPr="00000000" w:rsidDel="00000000">
              <w:rPr>
                <w:rtl w:val="0"/>
              </w:rPr>
              <w:t xml:space="preserve">", attiecīgi lūdzam precizēt šos noteikumu punktus, lai noteikumu tekstā tiktu izmantota vienota terminoloģija lēmumam par de minimis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redakcionāls precizējums, lai būtu vienota terminoloģija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w:t>
            </w:r>
            <w:r w:rsidR="00000000" w:rsidRPr="00000000" w:rsidDel="00000000">
              <w:rPr>
                <w:i w:val="1"/>
                <w:rtl w:val="0"/>
              </w:rPr>
              <w:t xml:space="preserve">De minimis</w:t>
            </w:r>
            <w:r w:rsidR="00000000" w:rsidRPr="00000000" w:rsidDel="00000000">
              <w:rPr>
                <w:rtl w:val="0"/>
              </w:rPr>
              <w:t xml:space="preserve"> atbalsts saimnieciskās darbības veicējam tiek piešķirts ar dienu, kad pieņemts lēmums par </w:t>
            </w:r>
            <w:r w:rsidR="00000000" w:rsidRPr="00000000" w:rsidDel="00000000">
              <w:rPr>
                <w:i w:val="1"/>
                <w:rtl w:val="0"/>
              </w:rPr>
              <w:t xml:space="preserve">de minimis</w:t>
            </w:r>
            <w:r w:rsidR="00000000" w:rsidRPr="00000000" w:rsidDel="00000000">
              <w:rPr>
                <w:rtl w:val="0"/>
              </w:rPr>
              <w:t xml:space="preserve"> atbalsta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ir pārkāptas Komisijas regulas Nr. </w:t>
            </w:r>
            <w:r w:rsidR="00000000" w:rsidRPr="00000000" w:rsidDel="00000000">
              <w:rPr>
                <w:rtl w:val="0"/>
              </w:rPr>
              <w:t xml:space="preserve">1407/2013</w:t>
            </w:r>
            <w:r w:rsidR="00000000" w:rsidRPr="00000000" w:rsidDel="00000000">
              <w:rPr>
                <w:rtl w:val="0"/>
              </w:rPr>
              <w:t xml:space="preserve"> prasības, atbalsta saņēmējam ir pienākums atmaksāt sabiedrībai "Altum" visu projekta ietvaros saņemto valsts atbalstu kopā ar procentiem no līdzekļiem, kas brīvi no valsts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nelikumīga de minimis atbalsta gadījumā ir jāatgūst visu projekta ietvaros saņemto de minimis atbalstu kopā ar procentiem, aicinām šo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pārkāptas Komisijas regulas Nr. 1407/2013 prasības, atbalsta saņēmējam ir pienākums atmaksāt sabiedrībai "Altum"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brīvi no valsts atbalsta, saskaņā ar Komercdarbības atbalsta kontroles likuma IV vai V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piedāvātai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ir pārkāptas Komisijas regulas Nr. </w:t>
            </w:r>
            <w:r w:rsidR="00000000" w:rsidRPr="00000000" w:rsidDel="00000000">
              <w:rPr>
                <w:rtl w:val="0"/>
              </w:rPr>
              <w:t xml:space="preserve">1407/2013</w:t>
            </w:r>
            <w:r w:rsidR="00000000" w:rsidRPr="00000000" w:rsidDel="00000000">
              <w:rPr>
                <w:rtl w:val="0"/>
              </w:rPr>
              <w:t xml:space="preserve"> prasības, atbalsta saņēmējam ir pienākums atmaksāt sabiedrībai "Altum"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brīvi no valsts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Garantijas ar finansējumu, kas noteikts šo noteikumu 7.5. punktā 1.2.2.2. pasākumam un 1.2.3.4. pasākumam, piešķir, kad 3.1.1.1. un 13.1.1.1. pasākuma finansējums pilnā apmērā ir piešķirts komersantiem vai jaunas garantijas nevar piešķirt 3.1.1.1. un 13.1.1.1. pasākumam atbilstības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projektā izteikto 44. punkta beigu daļu "nevar piešķirt 3.1.1.1. un 13.1.1.1. pasākumam atbilstības nosacījumiem", ņemot vērā, ka teikuma daļa nav loģiska un no pašreizējā formulējuma izriet, ka garantijas nevar piešķirt nosacījumiem, nevis komersantiem. Aicinām izteikt beigu daļu, piemēram, šādi "nevar piešķirt atbilstoši 3.1.1.1. un 13.1.1.1. pasākuma nosacījumiem"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atbilstoši piedāvātai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Garantijas ar finansējumu, kas noteikts šo noteikumu 7.5. punktā 1.2.2.2. pasākumam un 1.2.3.4. pasākumam, piešķir, kad 3.1.1.1. un 13.1.1.1. pasākuma finansējums pilnā apmērā ir piešķirts komersantiem vai jaunas garantijas nevar piešķirt atbilstoši 3.1.1.1. un 13.1.1.1. pasākuma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Finansējums, kas noteikts šo noteikumu 7.5. punktā, pieejams 1.2.2.2. pasākumam un 1.2.3.4. pasākumam, lietošana tiek uzsākta tikai pēc 2023.gada 31.decembra vai brīdī, kad 3.1.1.1. un 13.1.1.1. pasākumam pieejamais finansējums pilnībā ir apgūts.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vārdam "apgūšana" ir arī negatīva nozīme, lūdzam vārdu "apgūts" aizstāt ar vārdu "ieguldīts".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Garantijas ar finansējumu, kas noteikts šo noteikumu 7.5. punktā 1.2.2.2. pasākumam un 1.2.3.4. pasākumam, piešķir, kad 3.1.1.1. un 13.1.1.1. pasākuma finansējums pilnā apmērā ir piešķirts komersantiem vai jaunas garantijas nevar piešķirt atbilstoši 3.1.1.1. un 13.1.1.1. pasākuma nosacījumiem.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23-TA-1073</w:t>
    </w:r>
    <w:r>
      <w:br/>
    </w:r>
    <w:r w:rsidR="00000000" w:rsidRPr="00000000" w:rsidDel="00000000">
      <w:rPr>
        <w:rtl w:val="0"/>
      </w:rPr>
      <w:t xml:space="preserve">18.08.2023. 11.34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23-TA-1073</w:t>
    </w:r>
    <w:r>
      <w:br/>
    </w:r>
    <w:r w:rsidR="00000000" w:rsidRPr="00000000" w:rsidDel="00000000">
      <w:rPr>
        <w:rtl w:val="0"/>
      </w:rPr>
      <w:t xml:space="preserve">18.08.2023. 11.34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Izziņa_23-TA-1073.docx</dc:title>
</cp:coreProperties>
</file>

<file path=docProps/custom.xml><?xml version="1.0" encoding="utf-8"?>
<Properties xmlns="http://schemas.openxmlformats.org/officeDocument/2006/custom-properties" xmlns:vt="http://schemas.openxmlformats.org/officeDocument/2006/docPropsVTypes"/>
</file>