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9979" w14:textId="66C5894E" w:rsidR="00B24523" w:rsidRPr="008C3A10" w:rsidRDefault="00B24523" w:rsidP="008B4196">
      <w:pPr>
        <w:spacing w:after="120" w:line="240" w:lineRule="auto"/>
        <w:jc w:val="center"/>
        <w:rPr>
          <w:rFonts w:ascii="Gotham Pro LT" w:eastAsia="Times New Roman" w:hAnsi="Gotham Pro LT" w:cs="Gotham Pro LT"/>
          <w:color w:val="262626" w:themeColor="text1" w:themeTint="D9"/>
        </w:rPr>
      </w:pPr>
      <w:r w:rsidRPr="008C3A10">
        <w:rPr>
          <w:rFonts w:ascii="Gotham Pro LT" w:eastAsia="Times New Roman" w:hAnsi="Gotham Pro LT" w:cs="Gotham Pro LT"/>
          <w:color w:val="262626" w:themeColor="text1" w:themeTint="D9"/>
        </w:rPr>
        <w:t>Rīgā</w:t>
      </w:r>
    </w:p>
    <w:p w14:paraId="43315385" w14:textId="77777777" w:rsidR="00185F05" w:rsidRPr="008C3A10" w:rsidRDefault="00185F05" w:rsidP="008B4196">
      <w:pPr>
        <w:spacing w:after="120" w:line="240" w:lineRule="auto"/>
        <w:jc w:val="center"/>
        <w:rPr>
          <w:rFonts w:ascii="Gotham Pro LT" w:eastAsia="Times New Roman" w:hAnsi="Gotham Pro LT" w:cs="Gotham Pro LT"/>
          <w:color w:val="262626" w:themeColor="text1" w:themeTint="D9"/>
        </w:rPr>
      </w:pPr>
    </w:p>
    <w:tbl>
      <w:tblPr>
        <w:tblW w:w="9464" w:type="dxa"/>
        <w:tblLayout w:type="fixed"/>
        <w:tblLook w:val="0000" w:firstRow="0" w:lastRow="0" w:firstColumn="0" w:lastColumn="0" w:noHBand="0" w:noVBand="0"/>
      </w:tblPr>
      <w:tblGrid>
        <w:gridCol w:w="4928"/>
        <w:gridCol w:w="4536"/>
      </w:tblGrid>
      <w:tr w:rsidR="008C3A10" w:rsidRPr="008C3A10" w14:paraId="08F3997E" w14:textId="77777777" w:rsidTr="00D07E80">
        <w:trPr>
          <w:cantSplit/>
          <w:trHeight w:val="971"/>
        </w:trPr>
        <w:tc>
          <w:tcPr>
            <w:tcW w:w="4928" w:type="dxa"/>
          </w:tcPr>
          <w:p w14:paraId="08F3997A" w14:textId="73B80F2C" w:rsidR="00D07E80" w:rsidRPr="008C3A10" w:rsidRDefault="00662B48" w:rsidP="008B4196">
            <w:pPr>
              <w:spacing w:after="120" w:line="240" w:lineRule="auto"/>
              <w:jc w:val="both"/>
              <w:rPr>
                <w:rFonts w:ascii="Gotham Pro LT" w:eastAsia="Times New Roman" w:hAnsi="Gotham Pro LT" w:cs="Gotham Pro LT"/>
                <w:color w:val="262626" w:themeColor="text1" w:themeTint="D9"/>
              </w:rPr>
            </w:pPr>
            <w:r>
              <w:rPr>
                <w:rFonts w:ascii="Gotham Pro LT" w:eastAsia="Times New Roman" w:hAnsi="Gotham Pro LT" w:cs="Gotham Pro LT"/>
                <w:color w:val="262626" w:themeColor="text1" w:themeTint="D9"/>
              </w:rPr>
              <w:t xml:space="preserve">08.04.2021. </w:t>
            </w:r>
            <w:r w:rsidR="00D07E80" w:rsidRPr="008C3A10">
              <w:rPr>
                <w:rFonts w:ascii="Gotham Pro LT" w:eastAsia="Times New Roman" w:hAnsi="Gotham Pro LT" w:cs="Gotham Pro LT"/>
                <w:color w:val="262626" w:themeColor="text1" w:themeTint="D9"/>
              </w:rPr>
              <w:t xml:space="preserve">Nr. </w:t>
            </w:r>
            <w:sdt>
              <w:sdtPr>
                <w:rPr>
                  <w:rFonts w:ascii="Gotham Pro LT" w:eastAsia="Times New Roman" w:hAnsi="Gotham Pro LT" w:cs="Gotham Pro LT"/>
                  <w:color w:val="262626" w:themeColor="text1" w:themeTint="D9"/>
                </w:rPr>
                <w:alias w:val="LTAB numurs"/>
                <w:tag w:val="DokNumurs"/>
                <w:id w:val="-502584971"/>
                <w:placeholder>
                  <w:docPart w:val="4E0FEC1A292F419C82C8398F35ED4E1E"/>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Numurs[1]" w:storeItemID="{2DFF2E7C-4C4B-44D9-AB99-D3D6EA390431}"/>
                <w:text/>
              </w:sdtPr>
              <w:sdtContent>
                <w:r w:rsidRPr="00662B48">
                  <w:rPr>
                    <w:rFonts w:ascii="Gotham Pro LT" w:eastAsia="Times New Roman" w:hAnsi="Gotham Pro LT" w:cs="Gotham Pro LT"/>
                    <w:color w:val="262626" w:themeColor="text1" w:themeTint="D9"/>
                  </w:rPr>
                  <w:t>07/02-16/44</w:t>
                </w:r>
              </w:sdtContent>
            </w:sdt>
          </w:p>
          <w:p w14:paraId="08F3997C" w14:textId="6BDDA54D" w:rsidR="00D07E80" w:rsidRPr="008C3A10" w:rsidRDefault="00D07E80" w:rsidP="008B4196">
            <w:pPr>
              <w:spacing w:after="120" w:line="240" w:lineRule="auto"/>
              <w:jc w:val="both"/>
              <w:rPr>
                <w:rFonts w:ascii="Gotham Pro LT" w:eastAsia="Times New Roman" w:hAnsi="Gotham Pro LT" w:cs="Gotham Pro LT"/>
                <w:color w:val="262626" w:themeColor="text1" w:themeTint="D9"/>
              </w:rPr>
            </w:pPr>
            <w:r w:rsidRPr="008C3A10">
              <w:rPr>
                <w:rFonts w:ascii="Gotham Pro LT" w:eastAsia="Times New Roman" w:hAnsi="Gotham Pro LT" w:cs="Gotham Pro LT"/>
                <w:color w:val="262626" w:themeColor="text1" w:themeTint="D9"/>
              </w:rPr>
              <w:t>Uz</w:t>
            </w:r>
            <w:r w:rsidR="00A14B24" w:rsidRPr="008C3A10">
              <w:rPr>
                <w:rFonts w:ascii="Gotham Pro LT" w:eastAsia="Times New Roman" w:hAnsi="Gotham Pro LT" w:cs="Gotham Pro LT"/>
                <w:color w:val="262626" w:themeColor="text1" w:themeTint="D9"/>
              </w:rPr>
              <w:t xml:space="preserve"> </w:t>
            </w:r>
            <w:r w:rsidR="00583FF4" w:rsidRPr="008C3A10">
              <w:rPr>
                <w:rFonts w:ascii="Gotham Pro LT" w:eastAsia="Times New Roman" w:hAnsi="Gotham Pro LT" w:cs="Gotham Pro LT"/>
                <w:color w:val="262626" w:themeColor="text1" w:themeTint="D9"/>
              </w:rPr>
              <w:t>30</w:t>
            </w:r>
            <w:r w:rsidR="00A14B24" w:rsidRPr="008C3A10">
              <w:rPr>
                <w:rFonts w:ascii="Gotham Pro LT" w:eastAsia="Times New Roman" w:hAnsi="Gotham Pro LT" w:cs="Gotham Pro LT"/>
                <w:color w:val="262626" w:themeColor="text1" w:themeTint="D9"/>
              </w:rPr>
              <w:t>.0</w:t>
            </w:r>
            <w:r w:rsidR="00583FF4" w:rsidRPr="008C3A10">
              <w:rPr>
                <w:rFonts w:ascii="Gotham Pro LT" w:eastAsia="Times New Roman" w:hAnsi="Gotham Pro LT" w:cs="Gotham Pro LT"/>
                <w:color w:val="262626" w:themeColor="text1" w:themeTint="D9"/>
              </w:rPr>
              <w:t>3</w:t>
            </w:r>
            <w:r w:rsidR="00A14B24" w:rsidRPr="008C3A10">
              <w:rPr>
                <w:rFonts w:ascii="Gotham Pro LT" w:eastAsia="Times New Roman" w:hAnsi="Gotham Pro LT" w:cs="Gotham Pro LT"/>
                <w:color w:val="262626" w:themeColor="text1" w:themeTint="D9"/>
              </w:rPr>
              <w:t>.2021.</w:t>
            </w:r>
            <w:r w:rsidRPr="008C3A10">
              <w:rPr>
                <w:rFonts w:ascii="Gotham Pro LT" w:eastAsia="Times New Roman" w:hAnsi="Gotham Pro LT" w:cs="Gotham Pro LT"/>
                <w:color w:val="262626" w:themeColor="text1" w:themeTint="D9"/>
              </w:rPr>
              <w:t xml:space="preserve"> Nr. __________</w:t>
            </w:r>
          </w:p>
        </w:tc>
        <w:tc>
          <w:tcPr>
            <w:tcW w:w="4536" w:type="dxa"/>
          </w:tcPr>
          <w:p w14:paraId="32AAEF05" w14:textId="78B685E0" w:rsidR="004C171F" w:rsidRPr="008C3A10" w:rsidRDefault="004C171F" w:rsidP="008B4196">
            <w:pPr>
              <w:spacing w:after="120" w:line="240" w:lineRule="auto"/>
              <w:jc w:val="right"/>
              <w:rPr>
                <w:rFonts w:ascii="Gotham Pro LT" w:hAnsi="Gotham Pro LT" w:cs="Gotham Pro LT"/>
                <w:b/>
                <w:bCs/>
                <w:color w:val="262626" w:themeColor="text1" w:themeTint="D9"/>
                <w:lang w:eastAsia="lv-LV"/>
              </w:rPr>
            </w:pPr>
          </w:p>
          <w:p w14:paraId="4B5C79F9" w14:textId="3792300F" w:rsidR="00851B97" w:rsidRPr="008C3A10" w:rsidRDefault="003D4AA2" w:rsidP="008B4196">
            <w:pPr>
              <w:spacing w:after="120" w:line="240" w:lineRule="auto"/>
              <w:jc w:val="right"/>
              <w:rPr>
                <w:rFonts w:ascii="Gotham Pro LT" w:hAnsi="Gotham Pro LT" w:cs="Gotham Pro LT"/>
                <w:color w:val="262626" w:themeColor="text1" w:themeTint="D9"/>
              </w:rPr>
            </w:pPr>
            <w:r w:rsidRPr="008C3A10">
              <w:rPr>
                <w:rFonts w:ascii="Gotham Pro LT" w:hAnsi="Gotham Pro LT" w:cs="Gotham Pro LT"/>
                <w:color w:val="262626" w:themeColor="text1" w:themeTint="D9"/>
              </w:rPr>
              <w:t xml:space="preserve"> </w:t>
            </w:r>
          </w:p>
          <w:p w14:paraId="072100DC" w14:textId="77777777" w:rsidR="00350145" w:rsidRPr="008C3A10" w:rsidRDefault="00350145" w:rsidP="008B4196">
            <w:pPr>
              <w:spacing w:after="120" w:line="240" w:lineRule="auto"/>
              <w:jc w:val="right"/>
              <w:rPr>
                <w:rStyle w:val="Hyperlink"/>
                <w:rFonts w:ascii="Gotham Pro LT" w:hAnsi="Gotham Pro LT" w:cs="Gotham Pro LT"/>
                <w:b/>
                <w:bCs/>
                <w:color w:val="262626" w:themeColor="text1" w:themeTint="D9"/>
                <w:u w:val="none"/>
              </w:rPr>
            </w:pPr>
            <w:r w:rsidRPr="008C3A10">
              <w:rPr>
                <w:rStyle w:val="Hyperlink"/>
                <w:rFonts w:ascii="Gotham Pro LT" w:hAnsi="Gotham Pro LT" w:cs="Gotham Pro LT"/>
                <w:b/>
                <w:bCs/>
                <w:color w:val="262626" w:themeColor="text1" w:themeTint="D9"/>
                <w:u w:val="none"/>
              </w:rPr>
              <w:t>Finanšu ministrijai</w:t>
            </w:r>
          </w:p>
          <w:p w14:paraId="38697A6C" w14:textId="79935CD0" w:rsidR="00A14B24" w:rsidRPr="008C3A10" w:rsidRDefault="0092573E" w:rsidP="008B4196">
            <w:pPr>
              <w:spacing w:after="0" w:line="240" w:lineRule="auto"/>
              <w:jc w:val="right"/>
              <w:rPr>
                <w:rStyle w:val="Hyperlink"/>
                <w:rFonts w:ascii="Gotham Pro LT" w:hAnsi="Gotham Pro LT" w:cs="Gotham Pro LT"/>
                <w:color w:val="262626" w:themeColor="text1" w:themeTint="D9"/>
              </w:rPr>
            </w:pPr>
            <w:r w:rsidRPr="008C3A10">
              <w:rPr>
                <w:rFonts w:ascii="Gotham Pro LT" w:hAnsi="Gotham Pro LT" w:cs="Gotham Pro LT"/>
                <w:color w:val="262626" w:themeColor="text1" w:themeTint="D9"/>
              </w:rPr>
              <w:t xml:space="preserve">     </w:t>
            </w:r>
            <w:hyperlink r:id="rId11" w:history="1">
              <w:r w:rsidRPr="008C3A10">
                <w:rPr>
                  <w:rStyle w:val="Hyperlink"/>
                  <w:rFonts w:ascii="Gotham Pro LT" w:hAnsi="Gotham Pro LT" w:cs="Gotham Pro LT"/>
                  <w:color w:val="262626" w:themeColor="text1" w:themeTint="D9"/>
                </w:rPr>
                <w:t>pasts@fm.gov.lv</w:t>
              </w:r>
            </w:hyperlink>
          </w:p>
          <w:p w14:paraId="05FC7188" w14:textId="400655B2" w:rsidR="00A14B24" w:rsidRPr="008C3A10" w:rsidRDefault="00000000" w:rsidP="008B4196">
            <w:pPr>
              <w:spacing w:after="0" w:line="240" w:lineRule="auto"/>
              <w:jc w:val="right"/>
              <w:rPr>
                <w:rStyle w:val="Hyperlink"/>
                <w:rFonts w:ascii="Gotham Pro LT" w:hAnsi="Gotham Pro LT" w:cs="Gotham Pro LT"/>
                <w:bCs/>
                <w:color w:val="262626" w:themeColor="text1" w:themeTint="D9"/>
              </w:rPr>
            </w:pPr>
            <w:hyperlink r:id="rId12" w:history="1">
              <w:r w:rsidR="00A14B24" w:rsidRPr="008C3A10">
                <w:rPr>
                  <w:rStyle w:val="Hyperlink"/>
                  <w:rFonts w:ascii="Gotham Pro LT" w:hAnsi="Gotham Pro LT" w:cs="Gotham Pro LT"/>
                  <w:bCs/>
                  <w:color w:val="262626" w:themeColor="text1" w:themeTint="D9"/>
                </w:rPr>
                <w:t>Aija.Zitcere@fm.gov.lv</w:t>
              </w:r>
            </w:hyperlink>
          </w:p>
          <w:p w14:paraId="4E1276DD" w14:textId="2FD01D55" w:rsidR="00A14B24" w:rsidRPr="008C3A10" w:rsidRDefault="00A14B24" w:rsidP="008B4196">
            <w:pPr>
              <w:spacing w:after="0" w:line="240" w:lineRule="auto"/>
              <w:jc w:val="right"/>
              <w:rPr>
                <w:rStyle w:val="Hyperlink"/>
                <w:rFonts w:ascii="Gotham Pro LT" w:hAnsi="Gotham Pro LT" w:cs="Gotham Pro LT"/>
                <w:bCs/>
                <w:color w:val="262626" w:themeColor="text1" w:themeTint="D9"/>
              </w:rPr>
            </w:pPr>
            <w:r w:rsidRPr="008C3A10">
              <w:rPr>
                <w:rStyle w:val="Hyperlink"/>
                <w:rFonts w:ascii="Gotham Pro LT" w:hAnsi="Gotham Pro LT" w:cs="Gotham Pro LT"/>
                <w:bCs/>
                <w:color w:val="262626" w:themeColor="text1" w:themeTint="D9"/>
              </w:rPr>
              <w:t>Egita.Skibele@fm.gov.lv</w:t>
            </w:r>
          </w:p>
          <w:p w14:paraId="409C1CB6" w14:textId="77777777" w:rsidR="00A14B24" w:rsidRPr="008C3A10" w:rsidRDefault="00000000" w:rsidP="008B4196">
            <w:pPr>
              <w:spacing w:after="0" w:line="240" w:lineRule="auto"/>
              <w:jc w:val="right"/>
              <w:rPr>
                <w:rStyle w:val="Hyperlink"/>
                <w:rFonts w:ascii="Gotham Pro LT" w:hAnsi="Gotham Pro LT" w:cs="Gotham Pro LT"/>
                <w:bCs/>
                <w:color w:val="262626" w:themeColor="text1" w:themeTint="D9"/>
              </w:rPr>
            </w:pPr>
            <w:hyperlink r:id="rId13" w:history="1">
              <w:r w:rsidR="00A14B24" w:rsidRPr="008C3A10">
                <w:rPr>
                  <w:rStyle w:val="Hyperlink"/>
                  <w:rFonts w:ascii="Gotham Pro LT" w:hAnsi="Gotham Pro LT" w:cs="Gotham Pro LT"/>
                  <w:bCs/>
                  <w:color w:val="262626" w:themeColor="text1" w:themeTint="D9"/>
                </w:rPr>
                <w:t>Inese.Albova@fm.gov.lv</w:t>
              </w:r>
            </w:hyperlink>
          </w:p>
          <w:p w14:paraId="122A751D" w14:textId="3BC1F1D2" w:rsidR="00350145" w:rsidRPr="008C3A10" w:rsidRDefault="00350145" w:rsidP="008B4196">
            <w:pPr>
              <w:spacing w:after="120" w:line="240" w:lineRule="auto"/>
              <w:jc w:val="right"/>
              <w:rPr>
                <w:rFonts w:ascii="Gotham Pro LT" w:eastAsia="Times New Roman" w:hAnsi="Gotham Pro LT" w:cs="Gotham Pro LT"/>
                <w:color w:val="262626" w:themeColor="text1" w:themeTint="D9"/>
                <w:u w:val="single"/>
                <w:lang w:eastAsia="lv-LV"/>
              </w:rPr>
            </w:pPr>
          </w:p>
          <w:p w14:paraId="4E4A4615" w14:textId="44103487" w:rsidR="00D07E80" w:rsidRPr="008C3A10" w:rsidRDefault="00D07E80" w:rsidP="008B4196">
            <w:pPr>
              <w:spacing w:after="120" w:line="240" w:lineRule="auto"/>
              <w:jc w:val="right"/>
              <w:rPr>
                <w:rFonts w:ascii="Gotham Pro LT" w:eastAsia="Times New Roman" w:hAnsi="Gotham Pro LT" w:cs="Gotham Pro LT"/>
                <w:b/>
                <w:color w:val="262626" w:themeColor="text1" w:themeTint="D9"/>
              </w:rPr>
            </w:pPr>
          </w:p>
        </w:tc>
      </w:tr>
    </w:tbl>
    <w:p w14:paraId="40E4EF8B" w14:textId="2D7062C3" w:rsidR="008111DB" w:rsidRPr="008C3A10" w:rsidRDefault="008111DB" w:rsidP="008B4196">
      <w:pPr>
        <w:autoSpaceDE w:val="0"/>
        <w:autoSpaceDN w:val="0"/>
        <w:adjustRightInd w:val="0"/>
        <w:spacing w:after="0" w:line="240" w:lineRule="auto"/>
        <w:rPr>
          <w:rFonts w:ascii="Gotham Pro LT" w:hAnsi="Gotham Pro LT" w:cs="Gotham Pro LT"/>
          <w:b/>
          <w:bCs/>
          <w:i/>
          <w:iCs/>
          <w:color w:val="262626" w:themeColor="text1" w:themeTint="D9"/>
        </w:rPr>
      </w:pPr>
      <w:r w:rsidRPr="008C3A10">
        <w:rPr>
          <w:rFonts w:ascii="Gotham Pro LT" w:hAnsi="Gotham Pro LT" w:cs="Gotham Pro LT"/>
          <w:b/>
          <w:bCs/>
          <w:i/>
          <w:iCs/>
          <w:color w:val="262626" w:themeColor="text1" w:themeTint="D9"/>
        </w:rPr>
        <w:t>Par likumprojekt</w:t>
      </w:r>
      <w:r w:rsidR="004C171F" w:rsidRPr="008C3A10">
        <w:rPr>
          <w:rFonts w:ascii="Gotham Pro LT" w:hAnsi="Gotham Pro LT" w:cs="Gotham Pro LT"/>
          <w:b/>
          <w:bCs/>
          <w:i/>
          <w:iCs/>
          <w:color w:val="262626" w:themeColor="text1" w:themeTint="D9"/>
        </w:rPr>
        <w:t>u</w:t>
      </w:r>
    </w:p>
    <w:p w14:paraId="29C67187" w14:textId="77777777" w:rsidR="008111DB" w:rsidRPr="008C3A10" w:rsidRDefault="008111DB" w:rsidP="008B4196">
      <w:pPr>
        <w:autoSpaceDE w:val="0"/>
        <w:autoSpaceDN w:val="0"/>
        <w:adjustRightInd w:val="0"/>
        <w:spacing w:after="0" w:line="240" w:lineRule="auto"/>
        <w:rPr>
          <w:rFonts w:ascii="Gotham Pro LT" w:hAnsi="Gotham Pro LT" w:cs="Gotham Pro LT"/>
          <w:b/>
          <w:bCs/>
          <w:i/>
          <w:iCs/>
          <w:color w:val="262626" w:themeColor="text1" w:themeTint="D9"/>
        </w:rPr>
      </w:pPr>
      <w:r w:rsidRPr="008C3A10">
        <w:rPr>
          <w:rFonts w:ascii="Gotham Pro LT" w:hAnsi="Gotham Pro LT" w:cs="Gotham Pro LT"/>
          <w:b/>
          <w:bCs/>
          <w:i/>
          <w:iCs/>
          <w:color w:val="262626" w:themeColor="text1" w:themeTint="D9"/>
        </w:rPr>
        <w:t xml:space="preserve">“Grozījumi Sauszemes transportlīdzekļu īpašnieku </w:t>
      </w:r>
    </w:p>
    <w:p w14:paraId="3CFE0D34" w14:textId="77777777" w:rsidR="008111DB" w:rsidRPr="008C3A10" w:rsidRDefault="008111DB" w:rsidP="008B4196">
      <w:pPr>
        <w:autoSpaceDE w:val="0"/>
        <w:autoSpaceDN w:val="0"/>
        <w:adjustRightInd w:val="0"/>
        <w:spacing w:after="0" w:line="240" w:lineRule="auto"/>
        <w:rPr>
          <w:rFonts w:ascii="Gotham Pro LT" w:hAnsi="Gotham Pro LT" w:cs="Gotham Pro LT"/>
          <w:b/>
          <w:bCs/>
          <w:i/>
          <w:iCs/>
          <w:color w:val="262626" w:themeColor="text1" w:themeTint="D9"/>
        </w:rPr>
      </w:pPr>
      <w:r w:rsidRPr="008C3A10">
        <w:rPr>
          <w:rFonts w:ascii="Gotham Pro LT" w:hAnsi="Gotham Pro LT" w:cs="Gotham Pro LT"/>
          <w:b/>
          <w:bCs/>
          <w:i/>
          <w:iCs/>
          <w:color w:val="262626" w:themeColor="text1" w:themeTint="D9"/>
        </w:rPr>
        <w:t xml:space="preserve">civiltiesiskās atbildības obligātās </w:t>
      </w:r>
    </w:p>
    <w:p w14:paraId="4EEC6DC2" w14:textId="7D678EF7" w:rsidR="008111DB" w:rsidRPr="008C3A10" w:rsidRDefault="008111DB" w:rsidP="008B4196">
      <w:pPr>
        <w:autoSpaceDE w:val="0"/>
        <w:autoSpaceDN w:val="0"/>
        <w:adjustRightInd w:val="0"/>
        <w:spacing w:after="0" w:line="240" w:lineRule="auto"/>
        <w:rPr>
          <w:rFonts w:ascii="Gotham Pro LT" w:eastAsia="Times New Roman" w:hAnsi="Gotham Pro LT" w:cs="Gotham Pro LT"/>
          <w:i/>
          <w:iCs/>
          <w:color w:val="262626" w:themeColor="text1" w:themeTint="D9"/>
        </w:rPr>
      </w:pPr>
      <w:r w:rsidRPr="008C3A10">
        <w:rPr>
          <w:rFonts w:ascii="Gotham Pro LT" w:hAnsi="Gotham Pro LT" w:cs="Gotham Pro LT"/>
          <w:b/>
          <w:bCs/>
          <w:i/>
          <w:iCs/>
          <w:color w:val="262626" w:themeColor="text1" w:themeTint="D9"/>
        </w:rPr>
        <w:t>apdrošināšanas likumā</w:t>
      </w:r>
      <w:r w:rsidR="00FC4B42" w:rsidRPr="008C3A10">
        <w:rPr>
          <w:rFonts w:ascii="Gotham Pro LT" w:hAnsi="Gotham Pro LT" w:cs="Gotham Pro LT"/>
          <w:b/>
          <w:bCs/>
          <w:i/>
          <w:iCs/>
          <w:color w:val="262626" w:themeColor="text1" w:themeTint="D9"/>
        </w:rPr>
        <w:t>”</w:t>
      </w:r>
      <w:r w:rsidRPr="008C3A10">
        <w:rPr>
          <w:rFonts w:ascii="Gotham Pro LT" w:hAnsi="Gotham Pro LT" w:cs="Gotham Pro LT"/>
          <w:b/>
          <w:bCs/>
          <w:i/>
          <w:iCs/>
          <w:color w:val="262626" w:themeColor="text1" w:themeTint="D9"/>
        </w:rPr>
        <w:t xml:space="preserve"> </w:t>
      </w:r>
      <w:r w:rsidR="00A14B24" w:rsidRPr="008C3A10">
        <w:rPr>
          <w:rFonts w:ascii="Gotham Pro LT" w:hAnsi="Gotham Pro LT" w:cs="Gotham Pro LT"/>
          <w:b/>
          <w:bCs/>
          <w:i/>
          <w:color w:val="262626" w:themeColor="text1" w:themeTint="D9"/>
        </w:rPr>
        <w:t>(VSS – 617)</w:t>
      </w:r>
    </w:p>
    <w:p w14:paraId="3B1F1B2B" w14:textId="77777777" w:rsidR="0046122B" w:rsidRPr="008C3A10" w:rsidRDefault="0046122B" w:rsidP="008B4196">
      <w:pPr>
        <w:pStyle w:val="NoSpacing"/>
        <w:spacing w:after="120"/>
        <w:ind w:right="2975"/>
        <w:rPr>
          <w:rFonts w:ascii="Gotham Pro LT" w:hAnsi="Gotham Pro LT" w:cs="Gotham Pro LT"/>
          <w:b/>
          <w:bCs/>
          <w:i/>
          <w:iCs/>
          <w:color w:val="262626" w:themeColor="text1" w:themeTint="D9"/>
          <w:sz w:val="22"/>
          <w:szCs w:val="22"/>
        </w:rPr>
      </w:pPr>
    </w:p>
    <w:p w14:paraId="5771FAB5" w14:textId="7EBECBD8" w:rsidR="00A14B24" w:rsidRPr="008C3A10" w:rsidRDefault="0046122B" w:rsidP="008B4196">
      <w:pPr>
        <w:pStyle w:val="NoSpacing"/>
        <w:spacing w:after="120"/>
        <w:ind w:right="-1"/>
        <w:jc w:val="both"/>
        <w:rPr>
          <w:rFonts w:ascii="Gotham Pro LT" w:hAnsi="Gotham Pro LT" w:cs="Gotham Pro LT"/>
          <w:iCs/>
          <w:color w:val="262626" w:themeColor="text1" w:themeTint="D9"/>
          <w:sz w:val="22"/>
          <w:szCs w:val="22"/>
          <w:u w:val="single"/>
        </w:rPr>
      </w:pPr>
      <w:r w:rsidRPr="008C3A10">
        <w:rPr>
          <w:rFonts w:ascii="Gotham Pro LT" w:hAnsi="Gotham Pro LT" w:cs="Gotham Pro LT"/>
          <w:b/>
          <w:bCs/>
          <w:color w:val="262626" w:themeColor="text1" w:themeTint="D9"/>
          <w:sz w:val="22"/>
          <w:szCs w:val="22"/>
        </w:rPr>
        <w:tab/>
      </w:r>
      <w:bookmarkStart w:id="0" w:name="x_Footref15"/>
      <w:bookmarkStart w:id="1" w:name="x_Footref17"/>
      <w:bookmarkEnd w:id="0"/>
      <w:bookmarkEnd w:id="1"/>
      <w:r w:rsidR="00A14B24" w:rsidRPr="008C3A10">
        <w:rPr>
          <w:rFonts w:ascii="Gotham Pro LT" w:hAnsi="Gotham Pro LT" w:cs="Gotham Pro LT"/>
          <w:iCs/>
          <w:color w:val="262626" w:themeColor="text1" w:themeTint="D9"/>
          <w:sz w:val="22"/>
          <w:szCs w:val="22"/>
        </w:rPr>
        <w:t xml:space="preserve">Atbildot uz Finanšu ministrijas </w:t>
      </w:r>
      <w:r w:rsidR="00583FF4" w:rsidRPr="008C3A10">
        <w:rPr>
          <w:rFonts w:ascii="Gotham Pro LT" w:hAnsi="Gotham Pro LT" w:cs="Gotham Pro LT"/>
          <w:iCs/>
          <w:color w:val="262626" w:themeColor="text1" w:themeTint="D9"/>
          <w:sz w:val="22"/>
          <w:szCs w:val="22"/>
        </w:rPr>
        <w:t>30</w:t>
      </w:r>
      <w:r w:rsidR="00A14B24" w:rsidRPr="008C3A10">
        <w:rPr>
          <w:rFonts w:ascii="Gotham Pro LT" w:hAnsi="Gotham Pro LT" w:cs="Gotham Pro LT"/>
          <w:iCs/>
          <w:color w:val="262626" w:themeColor="text1" w:themeTint="D9"/>
          <w:sz w:val="22"/>
          <w:szCs w:val="22"/>
        </w:rPr>
        <w:t>.0</w:t>
      </w:r>
      <w:r w:rsidR="00583FF4" w:rsidRPr="008C3A10">
        <w:rPr>
          <w:rFonts w:ascii="Gotham Pro LT" w:hAnsi="Gotham Pro LT" w:cs="Gotham Pro LT"/>
          <w:iCs/>
          <w:color w:val="262626" w:themeColor="text1" w:themeTint="D9"/>
          <w:sz w:val="22"/>
          <w:szCs w:val="22"/>
        </w:rPr>
        <w:t>3</w:t>
      </w:r>
      <w:r w:rsidR="00A14B24" w:rsidRPr="008C3A10">
        <w:rPr>
          <w:rFonts w:ascii="Gotham Pro LT" w:hAnsi="Gotham Pro LT" w:cs="Gotham Pro LT"/>
          <w:iCs/>
          <w:color w:val="262626" w:themeColor="text1" w:themeTint="D9"/>
          <w:sz w:val="22"/>
          <w:szCs w:val="22"/>
        </w:rPr>
        <w:t>.2021. e-pasta vēstuli “Par likumprojekta “Grozījumi Sauszemes transportlīdzekļu īpašnieku civiltiesiskās atbildības obligātās apdrošināšanas likumā” (VSS – 617) elektronisku saskaņošanu” un iepazīstoties ar</w:t>
      </w:r>
      <w:r w:rsidR="00A14B24" w:rsidRPr="008C3A10">
        <w:rPr>
          <w:rFonts w:ascii="Gotham Pro LT" w:hAnsi="Gotham Pro LT" w:cs="Gotham Pro LT"/>
          <w:color w:val="262626" w:themeColor="text1" w:themeTint="D9"/>
          <w:sz w:val="22"/>
          <w:szCs w:val="22"/>
        </w:rPr>
        <w:t xml:space="preserve"> precizēto likumprojektu "Grozījumi Sauszemes transportlīdzekļu īpašnieku civiltiesiskās atbildības obligātās apdrošināšanas likumā" (VSS-617) (turpmāk – likumprojekts), tā sākotnējās ietekmes novērtējuma ziņojumu (anotāciju) un izziņu</w:t>
      </w:r>
      <w:r w:rsidR="00A14B24" w:rsidRPr="008C3A10">
        <w:rPr>
          <w:rFonts w:ascii="Gotham Pro LT" w:hAnsi="Gotham Pro LT" w:cs="Gotham Pro LT"/>
          <w:iCs/>
          <w:color w:val="262626" w:themeColor="text1" w:themeTint="D9"/>
          <w:sz w:val="22"/>
          <w:szCs w:val="22"/>
        </w:rPr>
        <w:t xml:space="preserve">, biedrība “Latvijas Transportlīdzekļu apdrošinātāju birojs” (turpmāk – LTAB) </w:t>
      </w:r>
      <w:r w:rsidR="00583FF4" w:rsidRPr="008C3A10">
        <w:rPr>
          <w:rFonts w:ascii="Gotham Pro LT" w:hAnsi="Gotham Pro LT" w:cs="Gotham Pro LT"/>
          <w:iCs/>
          <w:color w:val="262626" w:themeColor="text1" w:themeTint="D9"/>
          <w:sz w:val="22"/>
          <w:szCs w:val="22"/>
        </w:rPr>
        <w:t>izsaka šādus iebildumus</w:t>
      </w:r>
      <w:r w:rsidR="008B4196" w:rsidRPr="008C3A10">
        <w:rPr>
          <w:rFonts w:ascii="Gotham Pro LT" w:hAnsi="Gotham Pro LT" w:cs="Gotham Pro LT"/>
          <w:iCs/>
          <w:color w:val="262626" w:themeColor="text1" w:themeTint="D9"/>
          <w:sz w:val="22"/>
          <w:szCs w:val="22"/>
          <w:u w:val="single"/>
        </w:rPr>
        <w:t>:</w:t>
      </w:r>
    </w:p>
    <w:p w14:paraId="51A30B97" w14:textId="0102485D" w:rsidR="008B4196" w:rsidRPr="008C3A10" w:rsidRDefault="008B4196" w:rsidP="008B4196">
      <w:pPr>
        <w:pStyle w:val="NoSpacing"/>
        <w:numPr>
          <w:ilvl w:val="0"/>
          <w:numId w:val="19"/>
        </w:numPr>
        <w:spacing w:after="120"/>
        <w:ind w:right="-1"/>
        <w:jc w:val="both"/>
        <w:rPr>
          <w:rFonts w:ascii="Gotham Pro LT" w:hAnsi="Gotham Pro LT" w:cs="Gotham Pro LT"/>
          <w:b/>
          <w:bCs/>
          <w:color w:val="262626" w:themeColor="text1" w:themeTint="D9"/>
          <w:sz w:val="22"/>
          <w:szCs w:val="22"/>
        </w:rPr>
      </w:pPr>
      <w:r w:rsidRPr="008C3A10">
        <w:rPr>
          <w:rFonts w:ascii="Gotham Pro LT" w:hAnsi="Gotham Pro LT" w:cs="Gotham Pro LT"/>
          <w:b/>
          <w:bCs/>
          <w:color w:val="262626" w:themeColor="text1" w:themeTint="D9"/>
          <w:sz w:val="22"/>
          <w:szCs w:val="22"/>
        </w:rPr>
        <w:t>Likumprojekta 1.pantu (likuma 28.pantu) izteikt šādā redakcijā:</w:t>
      </w:r>
    </w:p>
    <w:p w14:paraId="476FAE47" w14:textId="17BAF41B" w:rsidR="008B4196" w:rsidRPr="008C3A10" w:rsidRDefault="008B4196" w:rsidP="008B4196">
      <w:pPr>
        <w:spacing w:after="120" w:line="240" w:lineRule="auto"/>
        <w:rPr>
          <w:rFonts w:ascii="Gotham Pro LT" w:hAnsi="Gotham Pro LT" w:cs="Gotham Pro LT"/>
          <w:color w:val="262626" w:themeColor="text1" w:themeTint="D9"/>
        </w:rPr>
      </w:pPr>
      <w:r w:rsidRPr="008C3A10">
        <w:rPr>
          <w:rFonts w:ascii="Gotham Pro LT" w:eastAsia="Calibri" w:hAnsi="Gotham Pro LT" w:cs="Gotham Pro LT"/>
          <w:color w:val="262626" w:themeColor="text1" w:themeTint="D9"/>
        </w:rPr>
        <w:t xml:space="preserve">“1. </w:t>
      </w:r>
      <w:bookmarkStart w:id="2" w:name="_Hlk68689163"/>
      <w:r w:rsidRPr="008C3A10">
        <w:rPr>
          <w:rFonts w:ascii="Gotham Pro LT" w:eastAsia="Calibri" w:hAnsi="Gotham Pro LT" w:cs="Gotham Pro LT"/>
          <w:color w:val="262626" w:themeColor="text1" w:themeTint="D9"/>
        </w:rPr>
        <w:t>Izteikt likuma 28. pantu šādā redakcijā:</w:t>
      </w:r>
    </w:p>
    <w:p w14:paraId="23959FC1" w14:textId="7A336827" w:rsidR="008B4196" w:rsidRPr="008C3A10" w:rsidRDefault="008B4196" w:rsidP="008B4196">
      <w:pPr>
        <w:pStyle w:val="ListParagraph"/>
        <w:spacing w:after="120"/>
        <w:ind w:left="0" w:firstLine="709"/>
        <w:rPr>
          <w:rFonts w:ascii="Gotham Pro LT" w:hAnsi="Gotham Pro LT" w:cs="Gotham Pro LT"/>
          <w:color w:val="262626" w:themeColor="text1" w:themeTint="D9"/>
        </w:rPr>
      </w:pPr>
      <w:r w:rsidRPr="008C3A10">
        <w:rPr>
          <w:rFonts w:ascii="Gotham Pro LT" w:hAnsi="Gotham Pro LT" w:cs="Gotham Pro LT"/>
          <w:color w:val="262626" w:themeColor="text1" w:themeTint="D9"/>
          <w:shd w:val="clear" w:color="auto" w:fill="FFFFFF"/>
        </w:rPr>
        <w:t>“</w:t>
      </w:r>
      <w:bookmarkStart w:id="3" w:name="_Hlk68689110"/>
      <w:r w:rsidRPr="008C3A10">
        <w:rPr>
          <w:rFonts w:ascii="Gotham Pro LT" w:hAnsi="Gotham Pro LT" w:cs="Gotham Pro LT"/>
          <w:b/>
          <w:bCs/>
          <w:color w:val="262626" w:themeColor="text1" w:themeTint="D9"/>
          <w:shd w:val="clear" w:color="auto" w:fill="FFFFFF"/>
        </w:rPr>
        <w:t>28.pants. Izdevumi sakarā ar transportlīdzekļa vai tā atlieku evakuāciju</w:t>
      </w:r>
    </w:p>
    <w:p w14:paraId="3E1E6789" w14:textId="68469DE0" w:rsidR="008B4196" w:rsidRPr="008C3A10" w:rsidRDefault="008B4196" w:rsidP="008B4196">
      <w:pPr>
        <w:pStyle w:val="ListParagraph"/>
        <w:spacing w:after="120"/>
        <w:ind w:left="0" w:firstLine="709"/>
        <w:jc w:val="both"/>
        <w:rPr>
          <w:rFonts w:ascii="Gotham Pro LT" w:eastAsia="Calibri" w:hAnsi="Gotham Pro LT" w:cs="Gotham Pro LT"/>
          <w:color w:val="262626" w:themeColor="text1" w:themeTint="D9"/>
        </w:rPr>
      </w:pPr>
      <w:r w:rsidRPr="008C3A10">
        <w:rPr>
          <w:rFonts w:ascii="Gotham Pro LT" w:eastAsia="Calibri" w:hAnsi="Gotham Pro LT" w:cs="Gotham Pro LT"/>
          <w:color w:val="262626" w:themeColor="text1" w:themeTint="D9"/>
        </w:rPr>
        <w:t xml:space="preserve">(1) Izdevumi sakarā ar transportlīdzekļa vai tā atlieku evakuāciju ir: </w:t>
      </w:r>
    </w:p>
    <w:p w14:paraId="3660758F" w14:textId="20CEC13C" w:rsidR="008B4196" w:rsidRPr="008C3A10" w:rsidRDefault="008B4196" w:rsidP="008B4196">
      <w:pPr>
        <w:pStyle w:val="ListParagraph"/>
        <w:spacing w:after="120"/>
        <w:ind w:left="0" w:firstLine="709"/>
        <w:jc w:val="both"/>
        <w:rPr>
          <w:rFonts w:ascii="Gotham Pro LT" w:eastAsia="Calibri" w:hAnsi="Gotham Pro LT" w:cs="Gotham Pro LT"/>
          <w:color w:val="262626" w:themeColor="text1" w:themeTint="D9"/>
        </w:rPr>
      </w:pPr>
      <w:r w:rsidRPr="008C3A10">
        <w:rPr>
          <w:rFonts w:ascii="Gotham Pro LT" w:eastAsia="Calibri" w:hAnsi="Gotham Pro LT" w:cs="Gotham Pro LT"/>
          <w:color w:val="262626" w:themeColor="text1" w:themeTint="D9"/>
        </w:rPr>
        <w:t>1) izdevumi par transportlīdzekļa vai tā atlieku evakuāciju no ceļu satiksmes negadījuma vietas līdz tā transportlīdzekļa īpašnieka vai tiesīgā lietotāja dzīvesvietai, kurš vadīja transportlīdzekli ceļu satiksmes negadījuma brīdī, stāvvietai vai  transportlīdzekļa remonta vietai (tajā skaitā izdevumi par transportlīdzekļa evakuāciju no transportlīdzekļa īpašnieka vai tiesīgā lietotāja dzīvesvietas vai stāvvietas līdz transportlīdzekļa remonta vietai, ja pēc ceļu satiksmes negadījuma transportlīdzekli nav bijis iespējams uzreiz nogādāt līdz transportlīdzekļa remonta vietai)</w:t>
      </w:r>
      <w:r w:rsidR="00C75282" w:rsidRPr="008C3A10">
        <w:rPr>
          <w:rFonts w:ascii="Gotham Pro LT" w:eastAsia="Calibri" w:hAnsi="Gotham Pro LT" w:cs="Gotham Pro LT"/>
          <w:color w:val="262626" w:themeColor="text1" w:themeTint="D9"/>
        </w:rPr>
        <w:t>;</w:t>
      </w:r>
    </w:p>
    <w:p w14:paraId="30ABE8FE" w14:textId="77777777" w:rsidR="008B4196" w:rsidRPr="008C3A10" w:rsidRDefault="008B4196" w:rsidP="008B4196">
      <w:pPr>
        <w:pStyle w:val="ListParagraph"/>
        <w:spacing w:after="120"/>
        <w:ind w:left="0" w:firstLine="709"/>
        <w:jc w:val="both"/>
        <w:rPr>
          <w:rFonts w:ascii="Gotham Pro LT" w:eastAsia="Calibri" w:hAnsi="Gotham Pro LT" w:cs="Gotham Pro LT"/>
          <w:color w:val="262626" w:themeColor="text1" w:themeTint="D9"/>
        </w:rPr>
      </w:pPr>
      <w:r w:rsidRPr="008C3A10">
        <w:rPr>
          <w:rFonts w:ascii="Gotham Pro LT" w:eastAsia="Calibri" w:hAnsi="Gotham Pro LT" w:cs="Gotham Pro LT"/>
          <w:color w:val="262626" w:themeColor="text1" w:themeTint="D9"/>
        </w:rPr>
        <w:t> 2) maksa par stāvvietas pakalpojumiem, ja sakarā ar izmeklēšanu kriminālprocesā vai citu iemeslu dēļ transportlīdzekli vai tā atliekas nepieciešams novietot stāvvietā. Šajā punktā minētos izdevumus atlīdzina:</w:t>
      </w:r>
    </w:p>
    <w:p w14:paraId="6EAF6D78" w14:textId="7CBB33C6" w:rsidR="008B4196" w:rsidRPr="008C3A10" w:rsidRDefault="008B4196" w:rsidP="008B4196">
      <w:pPr>
        <w:pStyle w:val="ListParagraph"/>
        <w:numPr>
          <w:ilvl w:val="0"/>
          <w:numId w:val="22"/>
        </w:numPr>
        <w:tabs>
          <w:tab w:val="left" w:pos="1134"/>
        </w:tabs>
        <w:spacing w:after="120"/>
        <w:ind w:left="0" w:firstLine="851"/>
        <w:jc w:val="both"/>
        <w:rPr>
          <w:rFonts w:ascii="Gotham Pro LT" w:eastAsia="Calibri" w:hAnsi="Gotham Pro LT" w:cs="Gotham Pro LT"/>
          <w:color w:val="262626" w:themeColor="text1" w:themeTint="D9"/>
        </w:rPr>
      </w:pPr>
      <w:r w:rsidRPr="008C3A10">
        <w:rPr>
          <w:rFonts w:ascii="Gotham Pro LT" w:eastAsia="Calibri" w:hAnsi="Gotham Pro LT" w:cs="Gotham Pro LT"/>
          <w:color w:val="262626" w:themeColor="text1" w:themeTint="D9"/>
        </w:rPr>
        <w:t>līdz brīdim, kad sakarā ar izmeklēšanu kriminālprocesā tiek dota atļauja no stāvvietas izņemt ceļu satiksmes negadījumā bojāto transportlīdzekli vai tā atliekas,</w:t>
      </w:r>
    </w:p>
    <w:p w14:paraId="44510E37" w14:textId="7569A8F4" w:rsidR="008B4196" w:rsidRPr="008C3A10" w:rsidRDefault="008B4196" w:rsidP="008B4196">
      <w:pPr>
        <w:pStyle w:val="ListParagraph"/>
        <w:numPr>
          <w:ilvl w:val="0"/>
          <w:numId w:val="22"/>
        </w:numPr>
        <w:tabs>
          <w:tab w:val="left" w:pos="1134"/>
        </w:tabs>
        <w:spacing w:after="120"/>
        <w:ind w:left="0" w:firstLine="851"/>
        <w:jc w:val="both"/>
        <w:rPr>
          <w:rFonts w:ascii="Gotham Pro LT" w:hAnsi="Gotham Pro LT" w:cs="Gotham Pro LT"/>
          <w:iCs/>
          <w:color w:val="262626" w:themeColor="text1" w:themeTint="D9"/>
        </w:rPr>
      </w:pPr>
      <w:r w:rsidRPr="008C3A10">
        <w:rPr>
          <w:rFonts w:ascii="Gotham Pro LT" w:eastAsia="Calibri" w:hAnsi="Gotham Pro LT" w:cs="Gotham Pro LT"/>
          <w:color w:val="262626" w:themeColor="text1" w:themeTint="D9"/>
        </w:rPr>
        <w:t>līdz 10 dienām citos gadījumos, izņemot, ja transportlīdzekļa īpašniekam vai tiesīgajam lietotājam pastāv būtiski šķēršļi izņemt transportlīdzekli vai tā atliekas no stāvvietas, bet jebkurā gadījumā ne vēlāk kā līdz brīdim, kad tiek pieņemts lēmums par apdrošināšanas atlīdzības izmaksu.</w:t>
      </w:r>
    </w:p>
    <w:p w14:paraId="2F76C3FE" w14:textId="7F26F7D2" w:rsidR="008B4196" w:rsidRPr="008C3A10" w:rsidRDefault="008B4196" w:rsidP="008B4196">
      <w:pPr>
        <w:pStyle w:val="ListParagraph"/>
        <w:tabs>
          <w:tab w:val="left" w:pos="1134"/>
        </w:tabs>
        <w:spacing w:after="120"/>
        <w:ind w:left="0" w:firstLine="851"/>
        <w:jc w:val="both"/>
        <w:rPr>
          <w:rFonts w:ascii="Gotham Pro LT" w:hAnsi="Gotham Pro LT" w:cs="Gotham Pro LT"/>
          <w:iCs/>
          <w:color w:val="262626" w:themeColor="text1" w:themeTint="D9"/>
        </w:rPr>
      </w:pPr>
      <w:r w:rsidRPr="008C3A10">
        <w:rPr>
          <w:rFonts w:ascii="Gotham Pro LT" w:eastAsia="Calibri" w:hAnsi="Gotham Pro LT" w:cs="Gotham Pro LT"/>
          <w:color w:val="262626" w:themeColor="text1" w:themeTint="D9"/>
        </w:rPr>
        <w:t xml:space="preserve">(2) Šā panta pirmajā daļā minētos izdevumus atlīdzina, ja pēc ceļu satiksmes negadījuma  nav  iespējama transportlīdzekļa dalība ceļu satiksmē vai nav bijis iespējams uzreiz novērst </w:t>
      </w:r>
      <w:r w:rsidRPr="008C3A10">
        <w:rPr>
          <w:rFonts w:ascii="Gotham Pro LT" w:eastAsia="Calibri" w:hAnsi="Gotham Pro LT" w:cs="Gotham Pro LT"/>
          <w:color w:val="262626" w:themeColor="text1" w:themeTint="D9"/>
        </w:rPr>
        <w:lastRenderedPageBreak/>
        <w:t>transportlīdzekļa bojājumus, kuru dēļ aizliegts ar transportlīdzekli piedalīties ceļu satiksmē, un ja šie izdevumi ir ekonomiski pamatoti</w:t>
      </w:r>
      <w:bookmarkEnd w:id="3"/>
      <w:r w:rsidRPr="008C3A10">
        <w:rPr>
          <w:rFonts w:ascii="Gotham Pro LT" w:eastAsia="Calibri" w:hAnsi="Gotham Pro LT" w:cs="Gotham Pro LT"/>
          <w:color w:val="262626" w:themeColor="text1" w:themeTint="D9"/>
        </w:rPr>
        <w:t>.””</w:t>
      </w:r>
    </w:p>
    <w:bookmarkEnd w:id="2"/>
    <w:p w14:paraId="3DBE6B17" w14:textId="7C9DF9C1" w:rsidR="008B4196" w:rsidRPr="008C3A10" w:rsidRDefault="008B4196" w:rsidP="00EB36CF">
      <w:pPr>
        <w:pStyle w:val="ListParagraph"/>
        <w:spacing w:after="120"/>
        <w:ind w:left="0" w:firstLine="851"/>
        <w:jc w:val="both"/>
        <w:rPr>
          <w:rFonts w:ascii="Gotham Pro LT" w:hAnsi="Gotham Pro LT" w:cs="Gotham Pro LT"/>
          <w:color w:val="262626" w:themeColor="text1" w:themeTint="D9"/>
        </w:rPr>
      </w:pPr>
      <w:r w:rsidRPr="008C3A10">
        <w:rPr>
          <w:rFonts w:ascii="Gotham Pro LT" w:eastAsia="Calibri" w:hAnsi="Gotham Pro LT" w:cs="Gotham Pro LT"/>
          <w:color w:val="262626" w:themeColor="text1" w:themeTint="D9"/>
          <w:u w:val="single"/>
        </w:rPr>
        <w:t>Pamatojums</w:t>
      </w:r>
      <w:r w:rsidRPr="008C3A10">
        <w:rPr>
          <w:rFonts w:ascii="Gotham Pro LT" w:eastAsia="Calibri" w:hAnsi="Gotham Pro LT" w:cs="Gotham Pro LT"/>
          <w:color w:val="262626" w:themeColor="text1" w:themeTint="D9"/>
        </w:rPr>
        <w:t xml:space="preserve">  - </w:t>
      </w:r>
      <w:r w:rsidR="008450E6" w:rsidRPr="008C3A10">
        <w:rPr>
          <w:rFonts w:ascii="Gotham Pro LT" w:eastAsia="Calibri" w:hAnsi="Gotham Pro LT" w:cs="Gotham Pro LT"/>
          <w:color w:val="262626" w:themeColor="text1" w:themeTint="D9"/>
        </w:rPr>
        <w:t xml:space="preserve">LTAB atkārtoti norāda, ka </w:t>
      </w:r>
      <w:r w:rsidR="00170922" w:rsidRPr="008C3A10">
        <w:rPr>
          <w:rFonts w:ascii="Gotham Pro LT" w:hAnsi="Gotham Pro LT" w:cs="Gotham Pro LT"/>
          <w:color w:val="262626" w:themeColor="text1" w:themeTint="D9"/>
        </w:rPr>
        <w:t>šobrīd likumprojektā</w:t>
      </w:r>
      <w:r w:rsidR="006F78CE" w:rsidRPr="008C3A10">
        <w:rPr>
          <w:rFonts w:ascii="Gotham Pro LT" w:hAnsi="Gotham Pro LT" w:cs="Gotham Pro LT"/>
          <w:color w:val="262626" w:themeColor="text1" w:themeTint="D9"/>
        </w:rPr>
        <w:t xml:space="preserve"> piedāvātie </w:t>
      </w:r>
      <w:r w:rsidR="00170922" w:rsidRPr="008C3A10">
        <w:rPr>
          <w:rFonts w:ascii="Gotham Pro LT" w:hAnsi="Gotham Pro LT" w:cs="Gotham Pro LT"/>
          <w:color w:val="262626" w:themeColor="text1" w:themeTint="D9"/>
        </w:rPr>
        <w:t xml:space="preserve">28.panta </w:t>
      </w:r>
      <w:r w:rsidR="006F78CE" w:rsidRPr="008C3A10">
        <w:rPr>
          <w:rFonts w:ascii="Gotham Pro LT" w:hAnsi="Gotham Pro LT" w:cs="Gotham Pro LT"/>
          <w:color w:val="262626" w:themeColor="text1" w:themeTint="D9"/>
        </w:rPr>
        <w:t xml:space="preserve">grozījumi, </w:t>
      </w:r>
      <w:r w:rsidR="006F78CE" w:rsidRPr="008C3A10">
        <w:rPr>
          <w:rFonts w:ascii="Gotham Pro LT" w:eastAsia="Calibri" w:hAnsi="Gotham Pro LT" w:cs="Gotham Pro LT"/>
          <w:color w:val="262626" w:themeColor="text1" w:themeTint="D9"/>
        </w:rPr>
        <w:t>izslēdzot</w:t>
      </w:r>
      <w:r w:rsidR="00170922" w:rsidRPr="008C3A10">
        <w:rPr>
          <w:rFonts w:ascii="Gotham Pro LT" w:eastAsia="Calibri" w:hAnsi="Gotham Pro LT" w:cs="Gotham Pro LT"/>
          <w:color w:val="262626" w:themeColor="text1" w:themeTint="D9"/>
        </w:rPr>
        <w:t xml:space="preserve"> tikai</w:t>
      </w:r>
      <w:r w:rsidR="006F78CE" w:rsidRPr="008C3A10">
        <w:rPr>
          <w:rFonts w:ascii="Gotham Pro LT" w:eastAsia="Calibri" w:hAnsi="Gotham Pro LT" w:cs="Gotham Pro LT"/>
          <w:color w:val="262626" w:themeColor="text1" w:themeTint="D9"/>
        </w:rPr>
        <w:t xml:space="preserve"> vārdus “Latvijas Republikas teritorijā”, neatrisinās</w:t>
      </w:r>
      <w:r w:rsidR="00170922" w:rsidRPr="008C3A10">
        <w:rPr>
          <w:rFonts w:ascii="Gotham Pro LT" w:eastAsia="Calibri" w:hAnsi="Gotham Pro LT" w:cs="Gotham Pro LT"/>
          <w:color w:val="262626" w:themeColor="text1" w:themeTint="D9"/>
        </w:rPr>
        <w:t xml:space="preserve"> visas</w:t>
      </w:r>
      <w:r w:rsidR="006F78CE" w:rsidRPr="008C3A10">
        <w:rPr>
          <w:rFonts w:ascii="Gotham Pro LT" w:eastAsia="Calibri" w:hAnsi="Gotham Pro LT" w:cs="Gotham Pro LT"/>
          <w:color w:val="262626" w:themeColor="text1" w:themeTint="D9"/>
        </w:rPr>
        <w:t xml:space="preserve"> praksē konstatētās problēmas saistībā ar likuma 28.panta interpretāciju</w:t>
      </w:r>
      <w:r w:rsidR="00170922" w:rsidRPr="008C3A10">
        <w:rPr>
          <w:rFonts w:ascii="Gotham Pro LT" w:eastAsia="Calibri" w:hAnsi="Gotham Pro LT" w:cs="Gotham Pro LT"/>
          <w:color w:val="262626" w:themeColor="text1" w:themeTint="D9"/>
        </w:rPr>
        <w:t xml:space="preserve"> un piemērošanu praksē</w:t>
      </w:r>
      <w:r w:rsidR="006F78CE" w:rsidRPr="008C3A10">
        <w:rPr>
          <w:rFonts w:ascii="Gotham Pro LT" w:eastAsia="Calibri" w:hAnsi="Gotham Pro LT" w:cs="Gotham Pro LT"/>
          <w:color w:val="262626" w:themeColor="text1" w:themeTint="D9"/>
        </w:rPr>
        <w:t>, proti,</w:t>
      </w:r>
      <w:r w:rsidR="00170922" w:rsidRPr="008C3A10">
        <w:rPr>
          <w:rFonts w:ascii="Gotham Pro LT" w:eastAsia="Calibri" w:hAnsi="Gotham Pro LT" w:cs="Gotham Pro LT"/>
          <w:color w:val="262626" w:themeColor="text1" w:themeTint="D9"/>
        </w:rPr>
        <w:t xml:space="preserve"> atrisinās tikai jautājumu par transportlīdzekļa evakuācijas izdevumu un stāvvietas izdevumu atlīdzināšanu ārpus Latvijas Republikas, bet neatrisināti paliks </w:t>
      </w:r>
      <w:r w:rsidR="00527DF3" w:rsidRPr="008C3A10">
        <w:rPr>
          <w:rFonts w:ascii="Gotham Pro LT" w:eastAsia="Calibri" w:hAnsi="Gotham Pro LT" w:cs="Gotham Pro LT"/>
          <w:color w:val="262626" w:themeColor="text1" w:themeTint="D9"/>
        </w:rPr>
        <w:t xml:space="preserve">vairāki </w:t>
      </w:r>
      <w:r w:rsidR="00170922" w:rsidRPr="008C3A10">
        <w:rPr>
          <w:rFonts w:ascii="Gotham Pro LT" w:eastAsia="Calibri" w:hAnsi="Gotham Pro LT" w:cs="Gotham Pro LT"/>
          <w:color w:val="262626" w:themeColor="text1" w:themeTint="D9"/>
        </w:rPr>
        <w:t>aspekt</w:t>
      </w:r>
      <w:r w:rsidR="00170922" w:rsidRPr="008C3A10">
        <w:rPr>
          <w:rFonts w:ascii="Gotham Pro LT" w:eastAsia="Calibri" w:hAnsi="Gotham Pro LT" w:cs="Gotham Pro LT"/>
          <w:color w:val="262626" w:themeColor="text1" w:themeTint="D9"/>
          <w:u w:val="single"/>
        </w:rPr>
        <w:t>i</w:t>
      </w:r>
      <w:r w:rsidR="00170922" w:rsidRPr="008C3A10">
        <w:rPr>
          <w:rFonts w:ascii="Gotham Pro LT" w:eastAsia="Calibri" w:hAnsi="Gotham Pro LT" w:cs="Gotham Pro LT"/>
          <w:color w:val="262626" w:themeColor="text1" w:themeTint="D9"/>
        </w:rPr>
        <w:t xml:space="preserve"> - </w:t>
      </w:r>
      <w:r w:rsidR="006F78CE" w:rsidRPr="008C3A10">
        <w:rPr>
          <w:rFonts w:ascii="Gotham Pro LT" w:eastAsia="Calibri" w:hAnsi="Gotham Pro LT" w:cs="Gotham Pro LT"/>
          <w:color w:val="262626" w:themeColor="text1" w:themeTint="D9"/>
        </w:rPr>
        <w:t>ja transportlīdzeklis no negadījuma vietas ir transportēts uz transportlīdzekļa īpašnieka dzīves vietu</w:t>
      </w:r>
      <w:r w:rsidR="00527DF3" w:rsidRPr="008C3A10">
        <w:rPr>
          <w:rFonts w:ascii="Gotham Pro LT" w:eastAsia="Calibri" w:hAnsi="Gotham Pro LT" w:cs="Gotham Pro LT"/>
          <w:color w:val="262626" w:themeColor="text1" w:themeTint="D9"/>
        </w:rPr>
        <w:t xml:space="preserve"> vai stāvvietu</w:t>
      </w:r>
      <w:r w:rsidR="006F78CE" w:rsidRPr="008C3A10">
        <w:rPr>
          <w:rFonts w:ascii="Gotham Pro LT" w:eastAsia="Calibri" w:hAnsi="Gotham Pro LT" w:cs="Gotham Pro LT"/>
          <w:color w:val="262626" w:themeColor="text1" w:themeTint="D9"/>
        </w:rPr>
        <w:t xml:space="preserve"> un pēc tam rodas nepieciešamība transportlīdzekli </w:t>
      </w:r>
      <w:r w:rsidR="00527DF3" w:rsidRPr="008C3A10">
        <w:rPr>
          <w:rFonts w:ascii="Gotham Pro LT" w:eastAsia="Calibri" w:hAnsi="Gotham Pro LT" w:cs="Gotham Pro LT"/>
          <w:color w:val="262626" w:themeColor="text1" w:themeTint="D9"/>
        </w:rPr>
        <w:t xml:space="preserve">tālāk </w:t>
      </w:r>
      <w:r w:rsidR="006F78CE" w:rsidRPr="008C3A10">
        <w:rPr>
          <w:rFonts w:ascii="Gotham Pro LT" w:eastAsia="Calibri" w:hAnsi="Gotham Pro LT" w:cs="Gotham Pro LT"/>
          <w:color w:val="262626" w:themeColor="text1" w:themeTint="D9"/>
        </w:rPr>
        <w:t>evakuēt uz transportlīdzekļa remonta vietu</w:t>
      </w:r>
      <w:r w:rsidR="00170922" w:rsidRPr="008C3A10">
        <w:rPr>
          <w:rFonts w:ascii="Gotham Pro LT" w:eastAsia="Calibri" w:hAnsi="Gotham Pro LT" w:cs="Gotham Pro LT"/>
          <w:color w:val="262626" w:themeColor="text1" w:themeTint="D9"/>
        </w:rPr>
        <w:t>, vai atlīdzināmi ir šie otrreizējie transportlīdzekļa evakuācijas izdevumi (spēkā esošā likuma 28.panta redakcija neparedz šādu izdevumu atlīdzināšanu</w:t>
      </w:r>
      <w:r w:rsidR="00583FF4" w:rsidRPr="008C3A10">
        <w:rPr>
          <w:rFonts w:ascii="Gotham Pro LT" w:eastAsia="Calibri" w:hAnsi="Gotham Pro LT" w:cs="Gotham Pro LT"/>
          <w:color w:val="262626" w:themeColor="text1" w:themeTint="D9"/>
        </w:rPr>
        <w:t>, bet LTAB piedāvātajā redakcijā tiek paredzēta šādu izdevumu atlīdzināšana</w:t>
      </w:r>
      <w:r w:rsidR="00170922" w:rsidRPr="008C3A10">
        <w:rPr>
          <w:rFonts w:ascii="Gotham Pro LT" w:eastAsia="Calibri" w:hAnsi="Gotham Pro LT" w:cs="Gotham Pro LT"/>
          <w:color w:val="262626" w:themeColor="text1" w:themeTint="D9"/>
        </w:rPr>
        <w:t xml:space="preserve">), </w:t>
      </w:r>
      <w:r w:rsidR="00AD6C84" w:rsidRPr="008C3A10">
        <w:rPr>
          <w:rFonts w:ascii="Gotham Pro LT" w:eastAsia="Calibri" w:hAnsi="Gotham Pro LT" w:cs="Gotham Pro LT"/>
          <w:color w:val="262626" w:themeColor="text1" w:themeTint="D9"/>
        </w:rPr>
        <w:t xml:space="preserve"> </w:t>
      </w:r>
      <w:r w:rsidR="00527DF3" w:rsidRPr="008C3A10">
        <w:rPr>
          <w:rFonts w:ascii="Gotham Pro LT" w:eastAsia="Calibri" w:hAnsi="Gotham Pro LT" w:cs="Gotham Pro LT"/>
          <w:color w:val="262626" w:themeColor="text1" w:themeTint="D9"/>
        </w:rPr>
        <w:t xml:space="preserve">tāpat praksē nākas sastapties ar situācijām, kur negadījumā cietušās personas iesniedz apdrošinātājiem maksājumu apliecinošu dokumentu par transportlīdzekļa evakuācijas izdevumu apmaksu, kas ievērojami  (2 vai pat 3 reizes vairāk) pārsniedz </w:t>
      </w:r>
      <w:r w:rsidR="00CA55BB" w:rsidRPr="008C3A10">
        <w:rPr>
          <w:rFonts w:ascii="Gotham Pro LT" w:eastAsia="Calibri" w:hAnsi="Gotham Pro LT" w:cs="Gotham Pro LT"/>
          <w:color w:val="262626" w:themeColor="text1" w:themeTint="D9"/>
        </w:rPr>
        <w:t xml:space="preserve">vidējo </w:t>
      </w:r>
      <w:r w:rsidR="00527DF3" w:rsidRPr="008C3A10">
        <w:rPr>
          <w:rFonts w:ascii="Gotham Pro LT" w:eastAsia="Calibri" w:hAnsi="Gotham Pro LT" w:cs="Gotham Pro LT"/>
          <w:color w:val="262626" w:themeColor="text1" w:themeTint="D9"/>
        </w:rPr>
        <w:t>tirgus cenu par evakuācijas izdevumiem</w:t>
      </w:r>
      <w:r w:rsidR="008450E6" w:rsidRPr="008C3A10">
        <w:rPr>
          <w:rFonts w:ascii="Gotham Pro LT" w:eastAsia="Calibri" w:hAnsi="Gotham Pro LT" w:cs="Gotham Pro LT"/>
          <w:color w:val="262626" w:themeColor="text1" w:themeTint="D9"/>
        </w:rPr>
        <w:t xml:space="preserve"> (LTAB piedāvātajā redakcijā tiek ieviesta skaidrība – pantā minētos izdevumus atlīdzina, ja šie izdevumi ir ekonomiski pamatoti)</w:t>
      </w:r>
      <w:r w:rsidR="00527DF3" w:rsidRPr="008C3A10">
        <w:rPr>
          <w:rFonts w:ascii="Gotham Pro LT" w:eastAsia="Calibri" w:hAnsi="Gotham Pro LT" w:cs="Gotham Pro LT"/>
          <w:color w:val="262626" w:themeColor="text1" w:themeTint="D9"/>
        </w:rPr>
        <w:t xml:space="preserve">, tāpat neskaidras ir situācijas, vai pieļaujama transportlīdzekļu evakuācija  </w:t>
      </w:r>
      <w:r w:rsidR="00170922" w:rsidRPr="008C3A10">
        <w:rPr>
          <w:rFonts w:ascii="Gotham Pro LT" w:eastAsia="Calibri" w:hAnsi="Gotham Pro LT" w:cs="Gotham Pro LT"/>
          <w:color w:val="262626" w:themeColor="text1" w:themeTint="D9"/>
        </w:rPr>
        <w:t>maznozīmīgu transportlīdzekļu bojājumu gadījumā</w:t>
      </w:r>
      <w:r w:rsidR="008450E6" w:rsidRPr="008C3A10">
        <w:rPr>
          <w:rFonts w:ascii="Gotham Pro LT" w:eastAsia="Calibri" w:hAnsi="Gotham Pro LT" w:cs="Gotham Pro LT"/>
          <w:color w:val="262626" w:themeColor="text1" w:themeTint="D9"/>
        </w:rPr>
        <w:t xml:space="preserve"> (LTAB piedāvātajā redakcijā tiek ieviesta skaidrība – pantā minētos izdevumus atlīdzina, ja pēc ceļu satiksmes negadījuma  nav  iespējama transportlīdzekļa dalība ceļu satiksmē vai nav bijis iespējams uzreiz novērst transportlīdzekļa bojājumus, kuru dēļ aizliegts ar transportlīdzekli piedalīties ceļu satiksmē, un ja šie izdevumi ir ekonomiski pamatoti</w:t>
      </w:r>
      <w:r w:rsidR="006F78CE" w:rsidRPr="008C3A10">
        <w:rPr>
          <w:rFonts w:ascii="Gotham Pro LT" w:eastAsia="Calibri" w:hAnsi="Gotham Pro LT" w:cs="Gotham Pro LT"/>
          <w:color w:val="262626" w:themeColor="text1" w:themeTint="D9"/>
        </w:rPr>
        <w:t xml:space="preserve">. Šie un citi ar LTAB piedāvāto likuma 28.panta </w:t>
      </w:r>
      <w:r w:rsidR="00170922" w:rsidRPr="008C3A10">
        <w:rPr>
          <w:rFonts w:ascii="Gotham Pro LT" w:eastAsia="Calibri" w:hAnsi="Gotham Pro LT" w:cs="Gotham Pro LT"/>
          <w:color w:val="262626" w:themeColor="text1" w:themeTint="D9"/>
        </w:rPr>
        <w:t xml:space="preserve">redakciju atrisinātie jautājumi ir ļoti būtiski, lai nodrošinātu </w:t>
      </w:r>
      <w:r w:rsidR="00CA55BB" w:rsidRPr="008C3A10">
        <w:rPr>
          <w:rFonts w:ascii="Gotham Pro LT" w:eastAsia="Calibri" w:hAnsi="Gotham Pro LT" w:cs="Gotham Pro LT"/>
          <w:color w:val="262626" w:themeColor="text1" w:themeTint="D9"/>
        </w:rPr>
        <w:t xml:space="preserve">pilnīgu </w:t>
      </w:r>
      <w:r w:rsidR="00170922" w:rsidRPr="008C3A10">
        <w:rPr>
          <w:rFonts w:ascii="Gotham Pro LT" w:eastAsia="Calibri" w:hAnsi="Gotham Pro LT" w:cs="Gotham Pro LT"/>
          <w:color w:val="262626" w:themeColor="text1" w:themeTint="D9"/>
        </w:rPr>
        <w:t>zaudējumu atlīdzību negadījumā cietušajām personām saistībā ar transportlīdzekļa evakuāciju un stāvvietas izdevumu apmaksu</w:t>
      </w:r>
      <w:r w:rsidR="00CA55BB" w:rsidRPr="008C3A10">
        <w:rPr>
          <w:rFonts w:ascii="Gotham Pro LT" w:eastAsia="Calibri" w:hAnsi="Gotham Pro LT" w:cs="Gotham Pro LT"/>
          <w:color w:val="262626" w:themeColor="text1" w:themeTint="D9"/>
        </w:rPr>
        <w:t>, bet tajā pašā laikā mudinātu negadījumā iesaistītās personas ievērot likuma 36.panta pirmās daļas 1.punkta prasības, kas paredz, ka negadījumā iesaistītajām personām ir pienākums veikt visus iespējamos pasākumus, kas vērsti uz negadījuma apstākļu fiksēšanu, turpmāko zaudējumu novēršanu vai samazināšanu.</w:t>
      </w:r>
      <w:r w:rsidR="00170922" w:rsidRPr="008C3A10">
        <w:rPr>
          <w:rFonts w:ascii="Gotham Pro LT" w:eastAsia="Calibri" w:hAnsi="Gotham Pro LT" w:cs="Gotham Pro LT"/>
          <w:color w:val="262626" w:themeColor="text1" w:themeTint="D9"/>
        </w:rPr>
        <w:t xml:space="preserve"> </w:t>
      </w:r>
    </w:p>
    <w:p w14:paraId="059141FC" w14:textId="7BAD4097" w:rsidR="008A0BB1" w:rsidRPr="008C3A10" w:rsidRDefault="00112E30" w:rsidP="008A0BB1">
      <w:pPr>
        <w:pStyle w:val="NoSpacing"/>
        <w:numPr>
          <w:ilvl w:val="0"/>
          <w:numId w:val="19"/>
        </w:numPr>
        <w:tabs>
          <w:tab w:val="left" w:pos="993"/>
        </w:tabs>
        <w:spacing w:after="120"/>
        <w:ind w:left="0" w:right="-1" w:firstLine="720"/>
        <w:jc w:val="both"/>
        <w:rPr>
          <w:rFonts w:ascii="Gotham Pro LT" w:hAnsi="Gotham Pro LT" w:cs="Gotham Pro LT"/>
          <w:b/>
          <w:bCs/>
          <w:color w:val="262626" w:themeColor="text1" w:themeTint="D9"/>
          <w:sz w:val="22"/>
          <w:szCs w:val="22"/>
        </w:rPr>
      </w:pPr>
      <w:bookmarkStart w:id="4" w:name="_Hlk60757383"/>
      <w:r w:rsidRPr="008C3A10">
        <w:rPr>
          <w:rFonts w:ascii="Gotham Pro LT" w:hAnsi="Gotham Pro LT" w:cs="Gotham Pro LT"/>
          <w:b/>
          <w:bCs/>
          <w:color w:val="262626" w:themeColor="text1" w:themeTint="D9"/>
          <w:sz w:val="22"/>
          <w:szCs w:val="22"/>
        </w:rPr>
        <w:t>Likumprojekta 2.pant</w:t>
      </w:r>
      <w:r w:rsidR="008B5F93" w:rsidRPr="008C3A10">
        <w:rPr>
          <w:rFonts w:ascii="Gotham Pro LT" w:hAnsi="Gotham Pro LT" w:cs="Gotham Pro LT"/>
          <w:b/>
          <w:bCs/>
          <w:color w:val="262626" w:themeColor="text1" w:themeTint="D9"/>
          <w:sz w:val="22"/>
          <w:szCs w:val="22"/>
        </w:rPr>
        <w:t>ā</w:t>
      </w:r>
      <w:r w:rsidRPr="008C3A10">
        <w:rPr>
          <w:rFonts w:ascii="Gotham Pro LT" w:hAnsi="Gotham Pro LT" w:cs="Gotham Pro LT"/>
          <w:b/>
          <w:bCs/>
          <w:color w:val="262626" w:themeColor="text1" w:themeTint="D9"/>
          <w:sz w:val="22"/>
          <w:szCs w:val="22"/>
        </w:rPr>
        <w:t xml:space="preserve"> (likuma 35.panta 8.punkta izslēgšana) </w:t>
      </w:r>
      <w:r w:rsidR="008A0BB1" w:rsidRPr="008C3A10">
        <w:rPr>
          <w:rFonts w:ascii="Gotham Pro LT" w:hAnsi="Gotham Pro LT" w:cs="Gotham Pro LT"/>
          <w:b/>
          <w:bCs/>
          <w:color w:val="262626" w:themeColor="text1" w:themeTint="D9"/>
          <w:sz w:val="22"/>
          <w:szCs w:val="22"/>
        </w:rPr>
        <w:t xml:space="preserve">piedāvātie grozījumi šobrīd nebūtu virzāmi, kamēr nav zināms Eiropas Savienības tiesas  (turpmāk – EST) nolēmums lietā C-28/21, kurā tiek skatīts jautājums par to, vai </w:t>
      </w:r>
      <w:r w:rsidR="008A0BB1" w:rsidRPr="008C3A10">
        <w:rPr>
          <w:rFonts w:ascii="Gotham Pro LT" w:eastAsia="Times New Roman" w:hAnsi="Gotham Pro LT" w:cs="Gotham Pro LT"/>
          <w:b/>
          <w:bCs/>
          <w:color w:val="262626" w:themeColor="text1" w:themeTint="D9"/>
          <w:sz w:val="22"/>
          <w:szCs w:val="22"/>
        </w:rPr>
        <w:t>Direktīvas 2009/103/EK 3.pantā ietvertais formulējums, ka “katra dalībvalsts [..] veic visus vajadzīgos pasākumus”, ir jāinterpretē tādējādi, ka dalībvalstu normatīvajos aktos ir jāparedz, ka apdrošinātāji OCTA ietvaros ir atbildīgi par zaudējumu pilnīgu atlīdzināšanu, t.sk. arī par tādām zaudējumus izraisījušā notikuma sekām, kuras izpaužas kā cietušā negūtā peļņa</w:t>
      </w:r>
      <w:r w:rsidR="003452A3" w:rsidRPr="008C3A10">
        <w:rPr>
          <w:rFonts w:ascii="Gotham Pro LT" w:eastAsia="Times New Roman" w:hAnsi="Gotham Pro LT" w:cs="Gotham Pro LT"/>
          <w:b/>
          <w:bCs/>
          <w:color w:val="262626" w:themeColor="text1" w:themeTint="D9"/>
          <w:sz w:val="22"/>
          <w:szCs w:val="22"/>
        </w:rPr>
        <w:t>.</w:t>
      </w:r>
      <w:r w:rsidR="008A0BB1" w:rsidRPr="008C3A10">
        <w:rPr>
          <w:rFonts w:ascii="Gotham Pro LT" w:eastAsia="Times New Roman" w:hAnsi="Gotham Pro LT" w:cs="Gotham Pro LT"/>
          <w:b/>
          <w:bCs/>
          <w:color w:val="262626" w:themeColor="text1" w:themeTint="D9"/>
          <w:sz w:val="22"/>
          <w:szCs w:val="22"/>
        </w:rPr>
        <w:t xml:space="preserve"> Konkrētā EST lieta  attiecas tieši uz OCTA likuma 35.panta 8.punkta interpretāciju</w:t>
      </w:r>
      <w:r w:rsidR="008A0BB1" w:rsidRPr="008C3A10">
        <w:rPr>
          <w:rFonts w:ascii="Gotham Pro LT" w:hAnsi="Gotham Pro LT" w:cs="Gotham Pro LT"/>
          <w:b/>
          <w:bCs/>
          <w:color w:val="262626" w:themeColor="text1" w:themeTint="D9"/>
          <w:sz w:val="22"/>
          <w:szCs w:val="22"/>
        </w:rPr>
        <w:t>.</w:t>
      </w:r>
    </w:p>
    <w:p w14:paraId="309D178C" w14:textId="3F652C14" w:rsidR="008A0BB1" w:rsidRPr="008C3A10" w:rsidRDefault="008C3A10" w:rsidP="008A0BB1">
      <w:pPr>
        <w:spacing w:after="0" w:line="240" w:lineRule="auto"/>
        <w:ind w:firstLine="720"/>
        <w:jc w:val="both"/>
        <w:rPr>
          <w:rFonts w:ascii="Gotham Pro LT" w:eastAsia="Times New Roman" w:hAnsi="Gotham Pro LT" w:cs="Gotham Pro LT"/>
          <w:b/>
          <w:bCs/>
          <w:color w:val="262626" w:themeColor="text1" w:themeTint="D9"/>
        </w:rPr>
      </w:pPr>
      <w:r w:rsidRPr="008C3A10">
        <w:rPr>
          <w:rFonts w:ascii="Gotham Pro LT" w:hAnsi="Gotham Pro LT" w:cs="Gotham Pro LT"/>
          <w:b/>
          <w:bCs/>
          <w:color w:val="262626" w:themeColor="text1" w:themeTint="D9"/>
        </w:rPr>
        <w:t>Tomēr, ja Finanšu ministrija izlemj, ka grozījumi ir virzāmi, tad piedāvājam šādus grozījumus</w:t>
      </w:r>
      <w:r w:rsidR="00042041">
        <w:rPr>
          <w:rFonts w:ascii="Gotham Pro LT" w:hAnsi="Gotham Pro LT" w:cs="Gotham Pro LT"/>
          <w:b/>
          <w:bCs/>
          <w:color w:val="262626" w:themeColor="text1" w:themeTint="D9"/>
        </w:rPr>
        <w:t>, kas LTAB skatījumā būtu pārsteidzīgi un sasteigti</w:t>
      </w:r>
      <w:r w:rsidRPr="008C3A10">
        <w:rPr>
          <w:rFonts w:ascii="Gotham Pro LT" w:hAnsi="Gotham Pro LT" w:cs="Gotham Pro LT"/>
          <w:b/>
          <w:bCs/>
          <w:color w:val="262626" w:themeColor="text1" w:themeTint="D9"/>
        </w:rPr>
        <w:t xml:space="preserve">: </w:t>
      </w:r>
    </w:p>
    <w:p w14:paraId="43CE05AC" w14:textId="77777777" w:rsidR="003452A3" w:rsidRPr="008C3A10" w:rsidRDefault="003452A3" w:rsidP="008A0BB1">
      <w:pPr>
        <w:spacing w:after="0" w:line="240" w:lineRule="auto"/>
        <w:ind w:firstLine="720"/>
        <w:jc w:val="both"/>
        <w:rPr>
          <w:rFonts w:ascii="Gotham Pro LT" w:eastAsia="Times New Roman" w:hAnsi="Gotham Pro LT" w:cs="Gotham Pro LT"/>
          <w:b/>
          <w:bCs/>
          <w:color w:val="262626" w:themeColor="text1" w:themeTint="D9"/>
        </w:rPr>
      </w:pPr>
    </w:p>
    <w:p w14:paraId="31BF6F17" w14:textId="39F1BEA9" w:rsidR="003452A3" w:rsidRPr="008C3A10" w:rsidRDefault="003452A3" w:rsidP="003452A3">
      <w:pPr>
        <w:pStyle w:val="ListParagraph"/>
        <w:numPr>
          <w:ilvl w:val="0"/>
          <w:numId w:val="31"/>
        </w:numPr>
        <w:spacing w:after="160" w:line="259" w:lineRule="auto"/>
        <w:contextualSpacing/>
        <w:jc w:val="both"/>
        <w:rPr>
          <w:rFonts w:ascii="Gotham Pro LT" w:hAnsi="Gotham Pro LT" w:cs="Gotham Pro LT"/>
          <w:b/>
          <w:bCs/>
          <w:color w:val="262626" w:themeColor="text1" w:themeTint="D9"/>
        </w:rPr>
      </w:pPr>
      <w:r w:rsidRPr="008C3A10">
        <w:rPr>
          <w:rFonts w:ascii="Gotham Pro LT" w:hAnsi="Gotham Pro LT" w:cs="Gotham Pro LT"/>
          <w:b/>
          <w:bCs/>
          <w:color w:val="262626" w:themeColor="text1" w:themeTint="D9"/>
        </w:rPr>
        <w:t>Papildināt 25.panta pirmo daļu ar 8.punktu šādā redakcijā:</w:t>
      </w:r>
    </w:p>
    <w:p w14:paraId="18159588" w14:textId="77777777" w:rsidR="003452A3" w:rsidRPr="008C3A10" w:rsidRDefault="003452A3" w:rsidP="003452A3">
      <w:pPr>
        <w:pStyle w:val="ListParagraph"/>
        <w:jc w:val="both"/>
        <w:rPr>
          <w:rFonts w:ascii="Gotham Pro LT" w:hAnsi="Gotham Pro LT" w:cs="Gotham Pro LT"/>
          <w:color w:val="262626" w:themeColor="text1" w:themeTint="D9"/>
        </w:rPr>
      </w:pPr>
      <w:r w:rsidRPr="008C3A10">
        <w:rPr>
          <w:rFonts w:ascii="Gotham Pro LT" w:hAnsi="Gotham Pro LT" w:cs="Gotham Pro LT"/>
          <w:color w:val="262626" w:themeColor="text1" w:themeTint="D9"/>
        </w:rPr>
        <w:t xml:space="preserve">“8) sakarā ar ceļu satiksmes negadījuma dēļ atrauto peļņu”. </w:t>
      </w:r>
    </w:p>
    <w:p w14:paraId="0F164386" w14:textId="77777777" w:rsidR="003452A3" w:rsidRPr="008C3A10" w:rsidRDefault="003452A3" w:rsidP="003452A3">
      <w:pPr>
        <w:pStyle w:val="ListParagraph"/>
        <w:jc w:val="both"/>
        <w:rPr>
          <w:rFonts w:ascii="Gotham Pro LT" w:hAnsi="Gotham Pro LT" w:cs="Gotham Pro LT"/>
          <w:color w:val="262626" w:themeColor="text1" w:themeTint="D9"/>
        </w:rPr>
      </w:pPr>
    </w:p>
    <w:p w14:paraId="6429193C" w14:textId="456C57F4" w:rsidR="003452A3" w:rsidRPr="008C3A10" w:rsidRDefault="003452A3" w:rsidP="003452A3">
      <w:pPr>
        <w:pStyle w:val="ListParagraph"/>
        <w:numPr>
          <w:ilvl w:val="0"/>
          <w:numId w:val="31"/>
        </w:numPr>
        <w:spacing w:after="160" w:line="259" w:lineRule="auto"/>
        <w:contextualSpacing/>
        <w:jc w:val="both"/>
        <w:rPr>
          <w:rFonts w:ascii="Gotham Pro LT" w:hAnsi="Gotham Pro LT" w:cs="Gotham Pro LT"/>
          <w:b/>
          <w:bCs/>
          <w:color w:val="262626" w:themeColor="text1" w:themeTint="D9"/>
        </w:rPr>
      </w:pPr>
      <w:bookmarkStart w:id="5" w:name="_Hlk68173904"/>
      <w:r w:rsidRPr="008C3A10">
        <w:rPr>
          <w:rFonts w:ascii="Gotham Pro LT" w:hAnsi="Gotham Pro LT" w:cs="Gotham Pro LT"/>
          <w:b/>
          <w:bCs/>
          <w:color w:val="262626" w:themeColor="text1" w:themeTint="D9"/>
        </w:rPr>
        <w:t>Papildināt likumu ar 30.</w:t>
      </w:r>
      <w:r w:rsidRPr="008C3A10">
        <w:rPr>
          <w:rFonts w:ascii="Gotham Pro LT" w:hAnsi="Gotham Pro LT" w:cs="Gotham Pro LT"/>
          <w:b/>
          <w:bCs/>
          <w:color w:val="262626" w:themeColor="text1" w:themeTint="D9"/>
          <w:vertAlign w:val="superscript"/>
        </w:rPr>
        <w:t xml:space="preserve">1 </w:t>
      </w:r>
      <w:r w:rsidRPr="008C3A10">
        <w:rPr>
          <w:rFonts w:ascii="Gotham Pro LT" w:hAnsi="Gotham Pro LT" w:cs="Gotham Pro LT"/>
          <w:b/>
          <w:bCs/>
          <w:color w:val="262626" w:themeColor="text1" w:themeTint="D9"/>
        </w:rPr>
        <w:t>pantu šādā redakcijā:</w:t>
      </w:r>
    </w:p>
    <w:p w14:paraId="17B9FD6C" w14:textId="77777777" w:rsidR="003452A3" w:rsidRPr="008C3A10" w:rsidRDefault="003452A3" w:rsidP="003452A3">
      <w:pPr>
        <w:pStyle w:val="ListParagraph"/>
        <w:jc w:val="both"/>
        <w:rPr>
          <w:rFonts w:ascii="Gotham Pro LT" w:hAnsi="Gotham Pro LT" w:cs="Gotham Pro LT"/>
          <w:b/>
          <w:bCs/>
          <w:color w:val="262626" w:themeColor="text1" w:themeTint="D9"/>
        </w:rPr>
      </w:pPr>
      <w:r w:rsidRPr="008C3A10">
        <w:rPr>
          <w:rFonts w:ascii="Gotham Pro LT" w:hAnsi="Gotham Pro LT" w:cs="Gotham Pro LT"/>
          <w:color w:val="262626" w:themeColor="text1" w:themeTint="D9"/>
        </w:rPr>
        <w:t>“</w:t>
      </w:r>
      <w:r w:rsidRPr="008C3A10">
        <w:rPr>
          <w:rFonts w:ascii="Gotham Pro LT" w:hAnsi="Gotham Pro LT" w:cs="Gotham Pro LT"/>
          <w:b/>
          <w:bCs/>
          <w:color w:val="262626" w:themeColor="text1" w:themeTint="D9"/>
        </w:rPr>
        <w:t>30.</w:t>
      </w:r>
      <w:r w:rsidRPr="008C3A10">
        <w:rPr>
          <w:rFonts w:ascii="Gotham Pro LT" w:hAnsi="Gotham Pro LT" w:cs="Gotham Pro LT"/>
          <w:b/>
          <w:bCs/>
          <w:color w:val="262626" w:themeColor="text1" w:themeTint="D9"/>
          <w:vertAlign w:val="superscript"/>
        </w:rPr>
        <w:t>1</w:t>
      </w:r>
      <w:r w:rsidRPr="008C3A10">
        <w:rPr>
          <w:rFonts w:ascii="Gotham Pro LT" w:hAnsi="Gotham Pro LT" w:cs="Gotham Pro LT"/>
          <w:color w:val="262626" w:themeColor="text1" w:themeTint="D9"/>
          <w:vertAlign w:val="superscript"/>
        </w:rPr>
        <w:t xml:space="preserve">  </w:t>
      </w:r>
      <w:r w:rsidRPr="008C3A10">
        <w:rPr>
          <w:rFonts w:ascii="Gotham Pro LT" w:hAnsi="Gotham Pro LT" w:cs="Gotham Pro LT"/>
          <w:b/>
          <w:bCs/>
          <w:color w:val="262626" w:themeColor="text1" w:themeTint="D9"/>
        </w:rPr>
        <w:t>Zaudējumi sakarā ar ceļu satiksmes negadījuma dēļ atrauto peļņu</w:t>
      </w:r>
    </w:p>
    <w:p w14:paraId="553BDDEB" w14:textId="77777777" w:rsidR="003452A3" w:rsidRPr="008C3A10" w:rsidRDefault="003452A3" w:rsidP="003452A3">
      <w:pPr>
        <w:pStyle w:val="ListParagraph"/>
        <w:jc w:val="both"/>
        <w:rPr>
          <w:rFonts w:ascii="Gotham Pro LT" w:hAnsi="Gotham Pro LT" w:cs="Gotham Pro LT"/>
          <w:color w:val="262626" w:themeColor="text1" w:themeTint="D9"/>
        </w:rPr>
      </w:pPr>
    </w:p>
    <w:p w14:paraId="74BD575C" w14:textId="035EA6B9" w:rsidR="003452A3" w:rsidRPr="00042041" w:rsidRDefault="003452A3" w:rsidP="003452A3">
      <w:pPr>
        <w:pStyle w:val="ListParagraph"/>
        <w:jc w:val="both"/>
        <w:rPr>
          <w:rFonts w:ascii="Gotham Pro LT" w:hAnsi="Gotham Pro LT" w:cs="Gotham Pro LT"/>
          <w:color w:val="262626" w:themeColor="text1" w:themeTint="D9"/>
        </w:rPr>
      </w:pPr>
      <w:r w:rsidRPr="00042041">
        <w:rPr>
          <w:rFonts w:ascii="Gotham Pro LT" w:hAnsi="Gotham Pro LT" w:cs="Gotham Pro LT"/>
          <w:color w:val="262626" w:themeColor="text1" w:themeTint="D9"/>
        </w:rPr>
        <w:t>Zaudējumi sakarā ar ceļu satiksmes negadījuma dēļ atrauto peļņu ir trešās personas, kura veic saimniecisko darbību, sagaidāmās peļņas atrāvums sakarā ar ceļu satiksmes negadījumu. Sagaidāmās peļņas atrāvum</w:t>
      </w:r>
      <w:r w:rsidR="00042041" w:rsidRPr="00042041">
        <w:rPr>
          <w:rFonts w:ascii="Gotham Pro LT" w:hAnsi="Gotham Pro LT" w:cs="Gotham Pro LT"/>
          <w:color w:val="262626" w:themeColor="text1" w:themeTint="D9"/>
        </w:rPr>
        <w:t xml:space="preserve">a esamību un tā apmēru </w:t>
      </w:r>
      <w:r w:rsidRPr="00042041">
        <w:rPr>
          <w:rFonts w:ascii="Gotham Pro LT" w:hAnsi="Gotham Pro LT" w:cs="Gotham Pro LT"/>
          <w:color w:val="262626" w:themeColor="text1" w:themeTint="D9"/>
        </w:rPr>
        <w:t xml:space="preserve">nosaka </w:t>
      </w:r>
      <w:r w:rsidRPr="00042041">
        <w:rPr>
          <w:rFonts w:ascii="Gotham Pro LT" w:eastAsia="Times New Roman" w:hAnsi="Gotham Pro LT" w:cs="Gotham Pro LT"/>
          <w:color w:val="262626" w:themeColor="text1" w:themeTint="D9"/>
          <w:lang w:eastAsia="lv-LV"/>
        </w:rPr>
        <w:t xml:space="preserve">saskaņā ar Civillikuma normām par </w:t>
      </w:r>
      <w:r w:rsidRPr="00042041">
        <w:rPr>
          <w:rFonts w:ascii="Gotham Pro LT" w:hAnsi="Gotham Pro LT" w:cs="Gotham Pro LT"/>
          <w:iCs/>
          <w:color w:val="262626" w:themeColor="text1" w:themeTint="D9"/>
        </w:rPr>
        <w:t>atrauto peļņu</w:t>
      </w:r>
      <w:r w:rsidRPr="00042041">
        <w:rPr>
          <w:rFonts w:ascii="Gotham Pro LT" w:hAnsi="Gotham Pro LT" w:cs="Gotham Pro LT"/>
          <w:color w:val="262626" w:themeColor="text1" w:themeTint="D9"/>
        </w:rPr>
        <w:t xml:space="preserve">, balstoties uz trešās personas iesniegtajiem dokumentiem un ekonomiskajiem aprēķiniem, kas pierāda sagaidāmās peļņas atrāvumu.”. </w:t>
      </w:r>
    </w:p>
    <w:bookmarkEnd w:id="5"/>
    <w:p w14:paraId="1ECD6035" w14:textId="77777777" w:rsidR="003452A3" w:rsidRPr="00042041" w:rsidRDefault="003452A3" w:rsidP="003452A3">
      <w:pPr>
        <w:pStyle w:val="ListParagraph"/>
        <w:jc w:val="both"/>
        <w:rPr>
          <w:rFonts w:ascii="Gotham Pro LT" w:hAnsi="Gotham Pro LT" w:cs="Gotham Pro LT"/>
          <w:color w:val="262626" w:themeColor="text1" w:themeTint="D9"/>
        </w:rPr>
      </w:pPr>
    </w:p>
    <w:p w14:paraId="47F0876D" w14:textId="77777777" w:rsidR="003452A3" w:rsidRPr="008C3A10" w:rsidRDefault="003452A3" w:rsidP="003452A3">
      <w:pPr>
        <w:pStyle w:val="ListParagraph"/>
        <w:numPr>
          <w:ilvl w:val="0"/>
          <w:numId w:val="31"/>
        </w:numPr>
        <w:spacing w:after="160" w:line="259" w:lineRule="auto"/>
        <w:contextualSpacing/>
        <w:jc w:val="both"/>
        <w:rPr>
          <w:rFonts w:ascii="Gotham Pro LT" w:hAnsi="Gotham Pro LT" w:cs="Gotham Pro LT"/>
          <w:b/>
          <w:bCs/>
          <w:color w:val="262626" w:themeColor="text1" w:themeTint="D9"/>
        </w:rPr>
      </w:pPr>
      <w:r w:rsidRPr="008C3A10">
        <w:rPr>
          <w:rFonts w:ascii="Gotham Pro LT" w:hAnsi="Gotham Pro LT" w:cs="Gotham Pro LT"/>
          <w:b/>
          <w:bCs/>
          <w:color w:val="262626" w:themeColor="text1" w:themeTint="D9"/>
        </w:rPr>
        <w:t>Izslēgt 35.pantā 8.punktu.</w:t>
      </w:r>
    </w:p>
    <w:p w14:paraId="718846F2" w14:textId="77777777" w:rsidR="003452A3" w:rsidRPr="008C3A10" w:rsidRDefault="003452A3" w:rsidP="003452A3">
      <w:pPr>
        <w:pStyle w:val="ListParagraph"/>
        <w:jc w:val="both"/>
        <w:rPr>
          <w:rFonts w:ascii="Gotham Pro LT" w:hAnsi="Gotham Pro LT" w:cs="Gotham Pro LT"/>
          <w:color w:val="262626" w:themeColor="text1" w:themeTint="D9"/>
        </w:rPr>
      </w:pPr>
    </w:p>
    <w:p w14:paraId="1416B6C4" w14:textId="77777777" w:rsidR="003452A3" w:rsidRPr="008C3A10" w:rsidRDefault="003452A3" w:rsidP="003452A3">
      <w:pPr>
        <w:pStyle w:val="ListParagraph"/>
        <w:numPr>
          <w:ilvl w:val="0"/>
          <w:numId w:val="31"/>
        </w:numPr>
        <w:spacing w:after="160" w:line="259" w:lineRule="auto"/>
        <w:contextualSpacing/>
        <w:jc w:val="both"/>
        <w:rPr>
          <w:rFonts w:ascii="Gotham Pro LT" w:hAnsi="Gotham Pro LT" w:cs="Gotham Pro LT"/>
          <w:b/>
          <w:bCs/>
          <w:color w:val="262626" w:themeColor="text1" w:themeTint="D9"/>
        </w:rPr>
      </w:pPr>
      <w:r w:rsidRPr="008C3A10">
        <w:rPr>
          <w:rFonts w:ascii="Gotham Pro LT" w:hAnsi="Gotham Pro LT" w:cs="Gotham Pro LT"/>
          <w:b/>
          <w:bCs/>
          <w:color w:val="262626" w:themeColor="text1" w:themeTint="D9"/>
        </w:rPr>
        <w:t>Papildināt Pārejas noteikumus ar 25. punktu šādā redakcijā:</w:t>
      </w:r>
    </w:p>
    <w:p w14:paraId="466E32A0" w14:textId="77777777" w:rsidR="003452A3" w:rsidRPr="008C3A10" w:rsidRDefault="003452A3" w:rsidP="003452A3">
      <w:pPr>
        <w:pStyle w:val="ListParagraph"/>
        <w:jc w:val="both"/>
        <w:rPr>
          <w:rFonts w:ascii="Gotham Pro LT" w:hAnsi="Gotham Pro LT" w:cs="Gotham Pro LT"/>
          <w:color w:val="262626" w:themeColor="text1" w:themeTint="D9"/>
        </w:rPr>
      </w:pPr>
      <w:bookmarkStart w:id="6" w:name="_Hlk68167750"/>
      <w:r w:rsidRPr="008C3A10">
        <w:rPr>
          <w:rFonts w:ascii="Gotham Pro LT" w:hAnsi="Gotham Pro LT" w:cs="Gotham Pro LT"/>
          <w:color w:val="262626" w:themeColor="text1" w:themeTint="D9"/>
        </w:rPr>
        <w:t xml:space="preserve">“25. Grozījumi </w:t>
      </w:r>
      <w:bookmarkStart w:id="7" w:name="_Hlk68167638"/>
      <w:r w:rsidRPr="008C3A10">
        <w:rPr>
          <w:rFonts w:ascii="Gotham Pro LT" w:hAnsi="Gotham Pro LT" w:cs="Gotham Pro LT"/>
          <w:color w:val="262626" w:themeColor="text1" w:themeTint="D9"/>
        </w:rPr>
        <w:t>šā likuma 25.panta pirmajā daļā attiecībā uz panta papildināšanu ar 8.punktu</w:t>
      </w:r>
      <w:bookmarkEnd w:id="7"/>
      <w:r w:rsidRPr="008C3A10">
        <w:rPr>
          <w:rFonts w:ascii="Gotham Pro LT" w:hAnsi="Gotham Pro LT" w:cs="Gotham Pro LT"/>
          <w:color w:val="262626" w:themeColor="text1" w:themeTint="D9"/>
        </w:rPr>
        <w:t>, 30.</w:t>
      </w:r>
      <w:r w:rsidRPr="008C3A10">
        <w:rPr>
          <w:rFonts w:ascii="Gotham Pro LT" w:hAnsi="Gotham Pro LT" w:cs="Gotham Pro LT"/>
          <w:color w:val="262626" w:themeColor="text1" w:themeTint="D9"/>
          <w:vertAlign w:val="superscript"/>
        </w:rPr>
        <w:t xml:space="preserve">1  </w:t>
      </w:r>
      <w:r w:rsidRPr="008C3A10">
        <w:rPr>
          <w:rFonts w:ascii="Gotham Pro LT" w:hAnsi="Gotham Pro LT" w:cs="Gotham Pro LT"/>
          <w:color w:val="262626" w:themeColor="text1" w:themeTint="D9"/>
        </w:rPr>
        <w:t xml:space="preserve">pants un </w:t>
      </w:r>
      <w:bookmarkStart w:id="8" w:name="_Hlk68167682"/>
      <w:r w:rsidRPr="008C3A10">
        <w:rPr>
          <w:rFonts w:ascii="Gotham Pro LT" w:hAnsi="Gotham Pro LT" w:cs="Gotham Pro LT"/>
          <w:color w:val="262626" w:themeColor="text1" w:themeTint="D9"/>
        </w:rPr>
        <w:t xml:space="preserve">grozījumi šā likuma 35.pantā attiecībā uz 8.punkta izslēgšanu </w:t>
      </w:r>
      <w:bookmarkEnd w:id="8"/>
      <w:r w:rsidRPr="008C3A10">
        <w:rPr>
          <w:rFonts w:ascii="Gotham Pro LT" w:hAnsi="Gotham Pro LT" w:cs="Gotham Pro LT"/>
          <w:color w:val="262626" w:themeColor="text1" w:themeTint="D9"/>
        </w:rPr>
        <w:t xml:space="preserve">stājas spēkā </w:t>
      </w:r>
      <w:r w:rsidRPr="008C3A10">
        <w:rPr>
          <w:rFonts w:ascii="Gotham Pro LT" w:eastAsia="SimSun" w:hAnsi="Gotham Pro LT" w:cs="Gotham Pro LT"/>
          <w:color w:val="262626" w:themeColor="text1" w:themeTint="D9"/>
          <w:lang w:eastAsia="zh-CN"/>
        </w:rPr>
        <w:t>24 mēnešus pēc šā likuma spēkā stāšanās</w:t>
      </w:r>
      <w:r w:rsidRPr="008C3A10">
        <w:rPr>
          <w:rFonts w:ascii="Gotham Pro LT" w:hAnsi="Gotham Pro LT" w:cs="Gotham Pro LT"/>
          <w:color w:val="262626" w:themeColor="text1" w:themeTint="D9"/>
        </w:rPr>
        <w:t>.”</w:t>
      </w:r>
    </w:p>
    <w:bookmarkEnd w:id="6"/>
    <w:p w14:paraId="11BA4395" w14:textId="77777777" w:rsidR="003452A3" w:rsidRPr="008C3A10" w:rsidRDefault="003452A3" w:rsidP="008A0BB1">
      <w:pPr>
        <w:spacing w:after="0" w:line="240" w:lineRule="auto"/>
        <w:ind w:firstLine="720"/>
        <w:jc w:val="both"/>
        <w:rPr>
          <w:rFonts w:ascii="Gotham Pro LT" w:eastAsia="Times New Roman" w:hAnsi="Gotham Pro LT" w:cs="Gotham Pro LT"/>
          <w:b/>
          <w:bCs/>
          <w:color w:val="262626" w:themeColor="text1" w:themeTint="D9"/>
        </w:rPr>
      </w:pPr>
    </w:p>
    <w:bookmarkEnd w:id="4"/>
    <w:p w14:paraId="00F51C89" w14:textId="1A9F4147" w:rsidR="00D95BE8" w:rsidRPr="008C3A10" w:rsidRDefault="000A7571" w:rsidP="000A7571">
      <w:pPr>
        <w:pStyle w:val="NoSpacing"/>
        <w:numPr>
          <w:ilvl w:val="0"/>
          <w:numId w:val="19"/>
        </w:numPr>
        <w:spacing w:after="120"/>
        <w:ind w:right="-1"/>
        <w:jc w:val="both"/>
        <w:rPr>
          <w:rFonts w:ascii="Gotham Pro LT" w:hAnsi="Gotham Pro LT" w:cs="Gotham Pro LT"/>
          <w:b/>
          <w:bCs/>
          <w:color w:val="262626" w:themeColor="text1" w:themeTint="D9"/>
          <w:sz w:val="22"/>
          <w:szCs w:val="22"/>
        </w:rPr>
      </w:pPr>
      <w:r w:rsidRPr="008C3A10">
        <w:rPr>
          <w:rFonts w:ascii="Gotham Pro LT" w:hAnsi="Gotham Pro LT" w:cs="Gotham Pro LT"/>
          <w:b/>
          <w:bCs/>
          <w:color w:val="262626" w:themeColor="text1" w:themeTint="D9"/>
          <w:sz w:val="22"/>
          <w:szCs w:val="22"/>
        </w:rPr>
        <w:t xml:space="preserve">Likumprojekts </w:t>
      </w:r>
      <w:r w:rsidR="0065694E" w:rsidRPr="008C3A10">
        <w:rPr>
          <w:rFonts w:ascii="Gotham Pro LT" w:hAnsi="Gotham Pro LT" w:cs="Gotham Pro LT"/>
          <w:b/>
          <w:bCs/>
          <w:color w:val="262626" w:themeColor="text1" w:themeTint="D9"/>
          <w:sz w:val="22"/>
          <w:szCs w:val="22"/>
        </w:rPr>
        <w:t>papildināms ar jaunu pantu – grozījumiem likuma 6.panta pirmajā daļā,  vārdus “Šveices Konfederācija” aizstājot ar vārdiem “cita valsts, kas pievienojusies 2002.gada 30.maija daudzpusējam nolīgumam starp Eiropas Ekonomikas zonas dalībvalstu un citu asociēto valstu nacionālajiem apdrošināšanas birojiem”</w:t>
      </w:r>
    </w:p>
    <w:p w14:paraId="1C63EF70" w14:textId="24B16955" w:rsidR="008C3A10" w:rsidRPr="008C3A10" w:rsidRDefault="008C3A10" w:rsidP="008C3A10">
      <w:pPr>
        <w:pStyle w:val="NoSpacing"/>
        <w:spacing w:after="120"/>
        <w:ind w:right="-1" w:firstLine="1080"/>
        <w:jc w:val="both"/>
        <w:rPr>
          <w:rFonts w:ascii="Gotham Pro LT" w:hAnsi="Gotham Pro LT" w:cs="Gotham Pro LT"/>
          <w:color w:val="262626" w:themeColor="text1" w:themeTint="D9"/>
          <w:sz w:val="22"/>
          <w:szCs w:val="22"/>
        </w:rPr>
      </w:pPr>
      <w:r w:rsidRPr="008C3A10">
        <w:rPr>
          <w:rFonts w:ascii="Gotham Pro LT" w:hAnsi="Gotham Pro LT" w:cs="Gotham Pro LT"/>
          <w:color w:val="262626" w:themeColor="text1" w:themeTint="D9"/>
          <w:sz w:val="22"/>
          <w:szCs w:val="22"/>
          <w:u w:val="single"/>
        </w:rPr>
        <w:t>Pamatojums</w:t>
      </w:r>
      <w:r w:rsidRPr="008C3A10">
        <w:rPr>
          <w:rFonts w:ascii="Gotham Pro LT" w:hAnsi="Gotham Pro LT" w:cs="Gotham Pro LT"/>
          <w:color w:val="262626" w:themeColor="text1" w:themeTint="D9"/>
          <w:sz w:val="22"/>
          <w:szCs w:val="22"/>
        </w:rPr>
        <w:t xml:space="preserve"> – likuma 6.panta pirmā daļa precizējama, lai konkretizētu to, attiecībā uz kādu trešo valstu transportlīdzekļiem ir slēdzams robežapdrošināšanas līgums, paredzot, ka robežapdrošināšanas līgums ir apdrošināšanas līgums, kas tiek noslēgts attiecībā uz transportlīdzekli, kurš reģistrēts valstī, kas nav Eiropas Ekonomikas zonas valsts vai cita valsts, kas pievienojusies 2002.gada 30.maija daudzpusējam nolīgumam starp Eiropas Ekonomikas zonas dalībvalstu un citu asociēto valstu nacionālajiem apdrošināšanas birojiem, ja tā vadītājs nevar uzrādīt Latvijas Republikas teritorijā spēkā esošu transportlīdzekļa īpašnieka civiltiesiskās atbildības obligātās apdrošināšanas līgumu.</w:t>
      </w:r>
    </w:p>
    <w:p w14:paraId="6917E573" w14:textId="616EC857" w:rsidR="008C3A10" w:rsidRDefault="008C3A10" w:rsidP="008C3A10">
      <w:pPr>
        <w:pStyle w:val="FootnoteText"/>
        <w:ind w:firstLine="720"/>
        <w:jc w:val="both"/>
        <w:rPr>
          <w:rFonts w:ascii="Gotham Pro LT" w:hAnsi="Gotham Pro LT" w:cs="Gotham Pro LT"/>
          <w:color w:val="262626" w:themeColor="text1" w:themeTint="D9"/>
          <w:sz w:val="22"/>
          <w:szCs w:val="22"/>
        </w:rPr>
      </w:pPr>
      <w:r w:rsidRPr="008C3A10">
        <w:rPr>
          <w:rFonts w:ascii="Gotham Pro LT" w:hAnsi="Gotham Pro LT" w:cs="Gotham Pro LT"/>
          <w:color w:val="262626" w:themeColor="text1" w:themeTint="D9"/>
          <w:sz w:val="22"/>
          <w:szCs w:val="22"/>
        </w:rPr>
        <w:t>Direktīva 2009/103/EK</w:t>
      </w:r>
      <w:r w:rsidRPr="008C3A10">
        <w:rPr>
          <w:rStyle w:val="FootnoteReference"/>
          <w:rFonts w:ascii="Gotham Pro LT" w:hAnsi="Gotham Pro LT" w:cs="Gotham Pro LT"/>
          <w:color w:val="262626" w:themeColor="text1" w:themeTint="D9"/>
          <w:sz w:val="22"/>
          <w:szCs w:val="22"/>
        </w:rPr>
        <w:footnoteReference w:id="1"/>
      </w:r>
      <w:r w:rsidRPr="008C3A10">
        <w:rPr>
          <w:rFonts w:ascii="Gotham Pro LT" w:hAnsi="Gotham Pro LT" w:cs="Gotham Pro LT"/>
          <w:color w:val="262626" w:themeColor="text1" w:themeTint="D9"/>
          <w:sz w:val="22"/>
          <w:szCs w:val="22"/>
        </w:rPr>
        <w:t xml:space="preserve"> (turpmāk – Direktīva) </w:t>
      </w:r>
      <w:r w:rsidRPr="008C3A10">
        <w:rPr>
          <w:rFonts w:ascii="Gotham Pro LT" w:hAnsi="Gotham Pro LT" w:cs="Gotham Pro LT"/>
          <w:color w:val="262626" w:themeColor="text1" w:themeTint="D9"/>
          <w:sz w:val="22"/>
          <w:szCs w:val="22"/>
          <w:shd w:val="clear" w:color="auto" w:fill="FFFFFF"/>
        </w:rPr>
        <w:t>paredz nosacījumus transportlīdzekļu, kas parasti atrodas ārpus Eiropas Ekonomikas zonas valsts (turpmāk – EEZ) vai Šveices Konfederācijas,  kustībai EEZ valstī vai Šveices Konfederācijā, norādot,  ka šādu transportlīdzekļu kustība EEZ valstī vai Šveices Konfederācijā ir atļauta, ja ir veikta transportlīdzekļu īpašnieku civiltiesiskās atbildības apdrošināšana (Latvijas gadījumā tas ir robežapdrošināšanas līgums, ko var noslēgt, ja transportlīdzekļa vadītājs nevar uzrādīt spēkā esošu Zaļo karti</w:t>
      </w:r>
      <w:r w:rsidRPr="008C3A10">
        <w:rPr>
          <w:rStyle w:val="FootnoteReference"/>
          <w:rFonts w:ascii="Gotham Pro LT" w:hAnsi="Gotham Pro LT" w:cs="Gotham Pro LT"/>
          <w:color w:val="262626" w:themeColor="text1" w:themeTint="D9"/>
          <w:sz w:val="22"/>
          <w:szCs w:val="22"/>
          <w:shd w:val="clear" w:color="auto" w:fill="FFFFFF"/>
        </w:rPr>
        <w:footnoteReference w:id="2"/>
      </w:r>
      <w:r w:rsidRPr="008C3A10">
        <w:rPr>
          <w:rFonts w:ascii="Gotham Pro LT" w:hAnsi="Gotham Pro LT" w:cs="Gotham Pro LT"/>
          <w:color w:val="262626" w:themeColor="text1" w:themeTint="D9"/>
          <w:sz w:val="22"/>
          <w:szCs w:val="22"/>
          <w:shd w:val="clear" w:color="auto" w:fill="FFFFFF"/>
        </w:rPr>
        <w:t>) (Direktīvas 7.</w:t>
      </w:r>
      <w:r w:rsidRPr="008C3A10">
        <w:rPr>
          <w:rStyle w:val="FootnoteReference"/>
          <w:rFonts w:ascii="Gotham Pro LT" w:hAnsi="Gotham Pro LT" w:cs="Gotham Pro LT"/>
          <w:color w:val="262626" w:themeColor="text1" w:themeTint="D9"/>
          <w:sz w:val="22"/>
          <w:szCs w:val="22"/>
          <w:shd w:val="clear" w:color="auto" w:fill="FFFFFF"/>
        </w:rPr>
        <w:footnoteReference w:id="3"/>
      </w:r>
      <w:r w:rsidRPr="008C3A10">
        <w:rPr>
          <w:rFonts w:ascii="Gotham Pro LT" w:hAnsi="Gotham Pro LT" w:cs="Gotham Pro LT"/>
          <w:color w:val="262626" w:themeColor="text1" w:themeTint="D9"/>
          <w:sz w:val="22"/>
          <w:szCs w:val="22"/>
          <w:shd w:val="clear" w:color="auto" w:fill="FFFFFF"/>
        </w:rPr>
        <w:t xml:space="preserve"> un 8.pants). Direktīvas 8.panta 1.punktā minēts, ka katram transportlīdzeklim, kas parasti atrodas trešās valsts teritorijā, pirms iebraukšanas teritorijā, kurā ir spēkā līgums, jābūt vai nu derīgai zaļajai kartei, vai pie robežas noslēgtas apdrošināšanas apliecībai, kas apliecina, ka transportlīdzeklis ir apdrošināts. Praksē ar Direktīvas 8.panta 1.punktā minēto līgumu tiek saprasts 2002.gada 30.maija daudzpusējais nolīgums starp EEZ dalībvalstu un citu asociēto valstu nacionālajiem apdrošināšanas birojiem (turpmāk – Daudzpusējais nolīgums).  Vienlaikus Direktīvas 8.panta 1.punktā minēts, ka transportlīdzekļi, kas parasti atrodas trešā valstī, uzskatāmi par transportlīdzekļiem, kuri parasti atrodas Kopienā (t.i., EEZ un Šveices Konfederācijā), ja visu dalībvalstu valsts apvienības, katra saskaņā ar savas valsts tiesību aktiem par obligāto apdrošināšanu, solidāri garantē prasījumu nokārtošanu attiecībā uz šo transportlīdzekļu izraisītiem negadījumiem savas valsts teritorijā. Tas nozīmē, ka visas valstis, kas pievienojušās Daudzpusējam nolīgumam var piedalīties ceļu satiksmē citas dalībvalsts teritorijā ar savā valstī izdotu OCTA līgumu, un šādu līgumu neesamības gadījumā atbildību par neapdrošināto transportlīdzekļu nodarītajiem zaudējumiem kā gala atbildētājs (gala maksātājs) uzņemas konkrētā dalībvalsts, kurā transportlīdzeklis ir reģistrēts. Tā kā </w:t>
      </w:r>
      <w:r w:rsidRPr="008C3A10">
        <w:rPr>
          <w:rFonts w:ascii="Gotham Pro LT" w:hAnsi="Gotham Pro LT" w:cs="Gotham Pro LT"/>
          <w:color w:val="262626" w:themeColor="text1" w:themeTint="D9"/>
          <w:sz w:val="22"/>
          <w:szCs w:val="22"/>
        </w:rPr>
        <w:t xml:space="preserve">Lielbritānijas un Ziemeļīrijas Apvienotā Karaliste (arī pēc “BREXIT” sākot no 01.01.2021.) ir Daudzpusējā nolīguma dalībniece, tad transportlīdzekļi, kas reģistrēti Lielbritānijas un Ziemeļīrijas Apvienotajā Karalistē, var piedalīties ceļu satiksmē ar Lielbritānijas un Ziemeļīrijas Apvienotajā Karalistē  izdotu OCTA līgumu Latvijas Republikā. Līdz ar to secināms, ka apdrošinātājam, kas sniedz OCTA pakalpojumus Latvijas Republikā, nav tiesiska pamata izdot robežapdrošināšanas līgumu attiecībā uz transportlīdzekļiem, kas reģistrēti trešajās </w:t>
      </w:r>
      <w:r w:rsidRPr="008C3A10">
        <w:rPr>
          <w:rFonts w:ascii="Gotham Pro LT" w:hAnsi="Gotham Pro LT" w:cs="Gotham Pro LT"/>
          <w:color w:val="262626" w:themeColor="text1" w:themeTint="D9"/>
          <w:sz w:val="22"/>
          <w:szCs w:val="22"/>
        </w:rPr>
        <w:lastRenderedPageBreak/>
        <w:t>valstīs, kas pievienojušās Daudzpusējam nolīgumam, t.sk. nav tiesību izdot robežapdrošināšanas līgumus  attiecībā uz Lielbritānijas un Ziemeļīrijas Apvienotajā Karalistē reģistrētiem transportlīdzekļiem.</w:t>
      </w:r>
    </w:p>
    <w:p w14:paraId="72088DB1" w14:textId="77777777" w:rsidR="008C3A10" w:rsidRPr="008C3A10" w:rsidRDefault="008C3A10" w:rsidP="008C3A10">
      <w:pPr>
        <w:pStyle w:val="FootnoteText"/>
        <w:ind w:firstLine="720"/>
        <w:jc w:val="both"/>
        <w:rPr>
          <w:rFonts w:ascii="Gotham Pro LT" w:hAnsi="Gotham Pro LT" w:cs="Gotham Pro LT"/>
          <w:color w:val="262626" w:themeColor="text1" w:themeTint="D9"/>
          <w:sz w:val="22"/>
          <w:szCs w:val="22"/>
        </w:rPr>
      </w:pPr>
    </w:p>
    <w:p w14:paraId="0B7C458F" w14:textId="56375B1A" w:rsidR="000A7571" w:rsidRPr="00042041" w:rsidRDefault="00D95BE8" w:rsidP="00D95BE8">
      <w:pPr>
        <w:pStyle w:val="NoSpacing"/>
        <w:numPr>
          <w:ilvl w:val="0"/>
          <w:numId w:val="19"/>
        </w:numPr>
        <w:spacing w:after="120"/>
        <w:ind w:right="-1"/>
        <w:jc w:val="both"/>
        <w:rPr>
          <w:rFonts w:ascii="Gotham Pro LT" w:hAnsi="Gotham Pro LT" w:cs="Gotham Pro LT"/>
          <w:b/>
          <w:bCs/>
          <w:color w:val="262626" w:themeColor="text1" w:themeTint="D9"/>
          <w:sz w:val="22"/>
          <w:szCs w:val="22"/>
        </w:rPr>
      </w:pPr>
      <w:r w:rsidRPr="00042041">
        <w:rPr>
          <w:rFonts w:ascii="Gotham Pro LT" w:hAnsi="Gotham Pro LT" w:cs="Gotham Pro LT"/>
          <w:b/>
          <w:bCs/>
          <w:color w:val="262626" w:themeColor="text1" w:themeTint="D9"/>
          <w:sz w:val="22"/>
          <w:szCs w:val="22"/>
        </w:rPr>
        <w:t xml:space="preserve">Likumprojekts </w:t>
      </w:r>
      <w:r w:rsidR="000A7571" w:rsidRPr="00042041">
        <w:rPr>
          <w:rFonts w:ascii="Gotham Pro LT" w:hAnsi="Gotham Pro LT" w:cs="Gotham Pro LT"/>
          <w:b/>
          <w:bCs/>
          <w:color w:val="262626" w:themeColor="text1" w:themeTint="D9"/>
          <w:sz w:val="22"/>
          <w:szCs w:val="22"/>
        </w:rPr>
        <w:t>papildināms ar</w:t>
      </w:r>
      <w:r w:rsidRPr="00042041">
        <w:rPr>
          <w:rFonts w:ascii="Gotham Pro LT" w:hAnsi="Gotham Pro LT" w:cs="Gotham Pro LT"/>
          <w:b/>
          <w:bCs/>
          <w:color w:val="262626" w:themeColor="text1" w:themeTint="D9"/>
          <w:sz w:val="22"/>
          <w:szCs w:val="22"/>
        </w:rPr>
        <w:t xml:space="preserve"> jaunu </w:t>
      </w:r>
      <w:r w:rsidR="000A7571" w:rsidRPr="00042041">
        <w:rPr>
          <w:rFonts w:ascii="Gotham Pro LT" w:hAnsi="Gotham Pro LT" w:cs="Gotham Pro LT"/>
          <w:b/>
          <w:bCs/>
          <w:color w:val="262626" w:themeColor="text1" w:themeTint="D9"/>
          <w:sz w:val="22"/>
          <w:szCs w:val="22"/>
        </w:rPr>
        <w:t>pantu – grozījumiem likuma 10.pantā šādā redakcijā:</w:t>
      </w:r>
    </w:p>
    <w:p w14:paraId="4244315C" w14:textId="607D4014" w:rsidR="00D95BE8" w:rsidRPr="00042041" w:rsidRDefault="000A7571" w:rsidP="000A7571">
      <w:pPr>
        <w:ind w:firstLine="851"/>
        <w:jc w:val="both"/>
        <w:rPr>
          <w:rFonts w:ascii="Gotham Pro LT" w:hAnsi="Gotham Pro LT" w:cs="Gotham Pro LT"/>
          <w:color w:val="262626" w:themeColor="text1" w:themeTint="D9"/>
        </w:rPr>
      </w:pPr>
      <w:r w:rsidRPr="00042041">
        <w:rPr>
          <w:rFonts w:ascii="Gotham Pro LT" w:hAnsi="Gotham Pro LT" w:cs="Gotham Pro LT"/>
          <w:color w:val="262626" w:themeColor="text1" w:themeTint="D9"/>
        </w:rPr>
        <w:t>“</w:t>
      </w:r>
      <w:r w:rsidR="00D95BE8" w:rsidRPr="00042041">
        <w:rPr>
          <w:rFonts w:ascii="Gotham Pro LT" w:hAnsi="Gotham Pro LT" w:cs="Gotham Pro LT"/>
          <w:color w:val="262626" w:themeColor="text1" w:themeTint="D9"/>
        </w:rPr>
        <w:t>__.</w:t>
      </w:r>
      <w:r w:rsidRPr="00042041">
        <w:rPr>
          <w:rFonts w:ascii="Gotham Pro LT" w:hAnsi="Gotham Pro LT" w:cs="Gotham Pro LT"/>
          <w:color w:val="262626" w:themeColor="text1" w:themeTint="D9"/>
        </w:rPr>
        <w:t>10.pant</w:t>
      </w:r>
      <w:r w:rsidR="00D95BE8" w:rsidRPr="00042041">
        <w:rPr>
          <w:rFonts w:ascii="Gotham Pro LT" w:hAnsi="Gotham Pro LT" w:cs="Gotham Pro LT"/>
          <w:color w:val="262626" w:themeColor="text1" w:themeTint="D9"/>
        </w:rPr>
        <w:t>ā:</w:t>
      </w:r>
    </w:p>
    <w:p w14:paraId="38084A8D" w14:textId="3F357E5D" w:rsidR="00D95BE8" w:rsidRPr="00042041" w:rsidRDefault="00D95BE8" w:rsidP="000A7571">
      <w:pPr>
        <w:ind w:firstLine="851"/>
        <w:jc w:val="both"/>
        <w:rPr>
          <w:rFonts w:ascii="Gotham Pro LT" w:hAnsi="Gotham Pro LT" w:cs="Gotham Pro LT"/>
          <w:color w:val="262626" w:themeColor="text1" w:themeTint="D9"/>
        </w:rPr>
      </w:pPr>
      <w:r w:rsidRPr="00042041">
        <w:rPr>
          <w:rFonts w:ascii="Gotham Pro LT" w:hAnsi="Gotham Pro LT" w:cs="Gotham Pro LT"/>
          <w:color w:val="262626" w:themeColor="text1" w:themeTint="D9"/>
        </w:rPr>
        <w:t>Papildināt sesto daļu ar 10.punktu šādā redakcijā:</w:t>
      </w:r>
    </w:p>
    <w:p w14:paraId="023D88BC" w14:textId="5EA72BAB" w:rsidR="00D95BE8" w:rsidRPr="00042041" w:rsidRDefault="0065694E" w:rsidP="000A7571">
      <w:pPr>
        <w:ind w:firstLine="851"/>
        <w:jc w:val="both"/>
        <w:rPr>
          <w:rFonts w:ascii="Gotham Pro LT" w:hAnsi="Gotham Pro LT" w:cs="Gotham Pro LT"/>
          <w:color w:val="262626" w:themeColor="text1" w:themeTint="D9"/>
        </w:rPr>
      </w:pPr>
      <w:r w:rsidRPr="00042041">
        <w:rPr>
          <w:rFonts w:ascii="Gotham Pro LT" w:hAnsi="Gotham Pro LT" w:cs="Gotham Pro LT"/>
          <w:color w:val="262626" w:themeColor="text1" w:themeTint="D9"/>
        </w:rPr>
        <w:t>“10) transportlīdzeklis, kuram ir Latvijas Republikas numura zīme, tiek izslēgts no attiecīgā transportlīdzekļu reģistra Latvijas Republikā”</w:t>
      </w:r>
    </w:p>
    <w:p w14:paraId="398545C2" w14:textId="47BC2EA8" w:rsidR="000A7571" w:rsidRPr="00042041" w:rsidRDefault="00D95BE8" w:rsidP="000A7571">
      <w:pPr>
        <w:ind w:firstLine="851"/>
        <w:jc w:val="both"/>
        <w:rPr>
          <w:rFonts w:ascii="Gotham Pro LT" w:hAnsi="Gotham Pro LT" w:cs="Gotham Pro LT"/>
          <w:b/>
          <w:bCs/>
          <w:color w:val="262626" w:themeColor="text1" w:themeTint="D9"/>
        </w:rPr>
      </w:pPr>
      <w:r w:rsidRPr="00042041">
        <w:rPr>
          <w:rFonts w:ascii="Gotham Pro LT" w:hAnsi="Gotham Pro LT" w:cs="Gotham Pro LT"/>
          <w:color w:val="262626" w:themeColor="text1" w:themeTint="D9"/>
        </w:rPr>
        <w:t xml:space="preserve">Papildināt pantu </w:t>
      </w:r>
      <w:r w:rsidR="000A7571" w:rsidRPr="00042041">
        <w:rPr>
          <w:rFonts w:ascii="Gotham Pro LT" w:hAnsi="Gotham Pro LT" w:cs="Gotham Pro LT"/>
          <w:color w:val="262626" w:themeColor="text1" w:themeTint="D9"/>
        </w:rPr>
        <w:t>ar astoto daļu šādā redakcijā:</w:t>
      </w:r>
    </w:p>
    <w:p w14:paraId="48D1EFE7" w14:textId="77777777" w:rsidR="000A7571" w:rsidRPr="00042041" w:rsidRDefault="000A7571" w:rsidP="004C5B6A">
      <w:pPr>
        <w:pStyle w:val="ListParagraph"/>
        <w:spacing w:after="120"/>
        <w:ind w:left="0" w:firstLine="851"/>
        <w:jc w:val="both"/>
        <w:rPr>
          <w:rFonts w:ascii="Gotham Pro LT" w:hAnsi="Gotham Pro LT" w:cs="Gotham Pro LT"/>
          <w:color w:val="262626" w:themeColor="text1" w:themeTint="D9"/>
        </w:rPr>
      </w:pPr>
      <w:r w:rsidRPr="00042041">
        <w:rPr>
          <w:rFonts w:ascii="Gotham Pro LT" w:hAnsi="Gotham Pro LT" w:cs="Gotham Pro LT"/>
          <w:color w:val="262626" w:themeColor="text1" w:themeTint="D9"/>
        </w:rPr>
        <w:t>“(8) Ja apdrošināšanas līgums noslēgts, izmantojot distances saziņas līdzekļus, transportlīdzekļa īpašniekam vai — transportlīdzekļa līzinga gadījumā — transportlīdzekļa reģistrācijas apliecībā norādītajam transportlīdzekļa turētājam (ja tas noslēdzis attiecīgu apdrošināšanas līgumu) nav tiesību izmantot atteikuma tiesības un izbeigt apdrošināšanas līgumu, ja apdrošināšanas līgums ir stājies spēkā atbilstoši šā likuma 9.pantam.””</w:t>
      </w:r>
    </w:p>
    <w:p w14:paraId="03EC340C" w14:textId="77777777" w:rsidR="000A7571" w:rsidRPr="00042041" w:rsidRDefault="000A7571" w:rsidP="004C5B6A">
      <w:pPr>
        <w:pStyle w:val="NoSpacing"/>
        <w:spacing w:after="120"/>
        <w:ind w:right="-1" w:firstLine="851"/>
        <w:jc w:val="both"/>
        <w:rPr>
          <w:rFonts w:ascii="Gotham Pro LT" w:hAnsi="Gotham Pro LT" w:cs="Gotham Pro LT"/>
          <w:color w:val="262626" w:themeColor="text1" w:themeTint="D9"/>
          <w:sz w:val="22"/>
          <w:szCs w:val="22"/>
        </w:rPr>
      </w:pPr>
      <w:r w:rsidRPr="00042041">
        <w:rPr>
          <w:rFonts w:ascii="Gotham Pro LT" w:hAnsi="Gotham Pro LT" w:cs="Gotham Pro LT"/>
          <w:color w:val="262626" w:themeColor="text1" w:themeTint="D9"/>
          <w:sz w:val="22"/>
          <w:szCs w:val="22"/>
          <w:u w:val="single"/>
        </w:rPr>
        <w:t xml:space="preserve">Pamatojums </w:t>
      </w:r>
      <w:r w:rsidRPr="00042041">
        <w:rPr>
          <w:rFonts w:ascii="Gotham Pro LT" w:hAnsi="Gotham Pro LT" w:cs="Gotham Pro LT"/>
          <w:color w:val="262626" w:themeColor="text1" w:themeTint="D9"/>
          <w:sz w:val="22"/>
          <w:szCs w:val="22"/>
        </w:rPr>
        <w:t>–</w:t>
      </w:r>
    </w:p>
    <w:p w14:paraId="5D2B8319" w14:textId="2217A34B" w:rsidR="0065694E" w:rsidRPr="00042041" w:rsidRDefault="0065694E" w:rsidP="004C5B6A">
      <w:pPr>
        <w:pStyle w:val="NoSpacing"/>
        <w:spacing w:after="120"/>
        <w:ind w:right="-1" w:firstLine="851"/>
        <w:jc w:val="both"/>
        <w:rPr>
          <w:rFonts w:ascii="Gotham Pro LT" w:hAnsi="Gotham Pro LT" w:cs="Gotham Pro LT"/>
          <w:color w:val="262626" w:themeColor="text1" w:themeTint="D9"/>
          <w:sz w:val="22"/>
          <w:szCs w:val="22"/>
        </w:rPr>
      </w:pPr>
      <w:r w:rsidRPr="00042041">
        <w:rPr>
          <w:rFonts w:ascii="Gotham Pro LT" w:hAnsi="Gotham Pro LT" w:cs="Gotham Pro LT"/>
          <w:color w:val="262626" w:themeColor="text1" w:themeTint="D9"/>
          <w:sz w:val="22"/>
          <w:szCs w:val="22"/>
        </w:rPr>
        <w:t>1) OCTA likuma 10.panta sestā daļa papildināma ar 10.punktu,  lai noteiktu, ka tajos gadījumos, kad transportlīdzeklis, kuram ir Latvijas Republikas numura zīme, tiek izslēgts no attiecīgā transportlīdzekļu reģistra Latvijas Republikā, spēkā esošais OCTA līgums attiecībā uz šādu transportlīdzekli uzskatāms par izbeigtu ar brīdi, kad transportlīdzekli izslēdz no transportlīdzekļu reģistra Latvijas Republikā, jo attiecīgi zūd arī apdrošināmā interese atbilstoši OCTA likuma 3.pantam.</w:t>
      </w:r>
      <w:r w:rsidR="00042041" w:rsidRPr="00042041">
        <w:rPr>
          <w:rFonts w:ascii="Gotham Pro LT" w:hAnsi="Gotham Pro LT" w:cs="Gotham Pro LT"/>
          <w:color w:val="262626" w:themeColor="text1" w:themeTint="D9"/>
          <w:sz w:val="22"/>
          <w:szCs w:val="22"/>
        </w:rPr>
        <w:t xml:space="preserve"> Tomēr situācijā, kad šāds transportlīdzeklis, kas izslēgts no reģistra, būs piedalījies ceļu satiksmē un</w:t>
      </w:r>
      <w:r w:rsidR="00042041">
        <w:rPr>
          <w:rFonts w:ascii="Gotham Pro LT" w:hAnsi="Gotham Pro LT" w:cs="Gotham Pro LT"/>
          <w:color w:val="262626" w:themeColor="text1" w:themeTint="D9"/>
          <w:sz w:val="22"/>
          <w:szCs w:val="22"/>
        </w:rPr>
        <w:t xml:space="preserve"> būs</w:t>
      </w:r>
      <w:r w:rsidR="00042041" w:rsidRPr="00042041">
        <w:rPr>
          <w:rFonts w:ascii="Gotham Pro LT" w:hAnsi="Gotham Pro LT" w:cs="Gotham Pro LT"/>
          <w:color w:val="262626" w:themeColor="text1" w:themeTint="D9"/>
          <w:sz w:val="22"/>
          <w:szCs w:val="22"/>
        </w:rPr>
        <w:t xml:space="preserve"> nodarīs zaudējumus, tad </w:t>
      </w:r>
      <w:r w:rsidR="00042041">
        <w:rPr>
          <w:rFonts w:ascii="Gotham Pro LT" w:eastAsia="Times New Roman" w:hAnsi="Gotham Pro LT" w:cs="Gotham Pro LT"/>
          <w:sz w:val="22"/>
          <w:szCs w:val="22"/>
        </w:rPr>
        <w:t>a</w:t>
      </w:r>
      <w:r w:rsidR="00042041" w:rsidRPr="00042041">
        <w:rPr>
          <w:rFonts w:ascii="Gotham Pro LT" w:eastAsia="Times New Roman" w:hAnsi="Gotham Pro LT" w:cs="Gotham Pro LT"/>
          <w:sz w:val="22"/>
          <w:szCs w:val="22"/>
        </w:rPr>
        <w:t xml:space="preserve">tbilstoši </w:t>
      </w:r>
      <w:r w:rsidR="00042041">
        <w:rPr>
          <w:rFonts w:ascii="Gotham Pro LT" w:eastAsia="Times New Roman" w:hAnsi="Gotham Pro LT" w:cs="Gotham Pro LT"/>
          <w:sz w:val="22"/>
          <w:szCs w:val="22"/>
        </w:rPr>
        <w:t>D</w:t>
      </w:r>
      <w:r w:rsidR="00042041" w:rsidRPr="00042041">
        <w:rPr>
          <w:rFonts w:ascii="Gotham Pro LT" w:eastAsia="Times New Roman" w:hAnsi="Gotham Pro LT" w:cs="Gotham Pro LT"/>
          <w:sz w:val="22"/>
          <w:szCs w:val="22"/>
        </w:rPr>
        <w:t>irektīvai (1. pantam</w:t>
      </w:r>
      <w:r w:rsidR="00042041" w:rsidRPr="00042041">
        <w:rPr>
          <w:rStyle w:val="FootnoteReference"/>
          <w:rFonts w:ascii="Gotham Pro LT" w:eastAsia="Times New Roman" w:hAnsi="Gotham Pro LT" w:cs="Gotham Pro LT"/>
          <w:sz w:val="22"/>
          <w:szCs w:val="22"/>
        </w:rPr>
        <w:footnoteReference w:id="4"/>
      </w:r>
      <w:r w:rsidR="00042041" w:rsidRPr="00042041">
        <w:rPr>
          <w:rFonts w:ascii="Gotham Pro LT" w:eastAsia="Times New Roman" w:hAnsi="Gotham Pro LT" w:cs="Gotham Pro LT"/>
          <w:sz w:val="22"/>
          <w:szCs w:val="22"/>
        </w:rPr>
        <w:t>) par šāda</w:t>
      </w:r>
      <w:r w:rsidR="00042041" w:rsidRPr="00042041">
        <w:rPr>
          <w:rFonts w:ascii="Gotham Pro LT" w:eastAsia="Times New Roman" w:hAnsi="Gotham Pro LT" w:cs="Gotham Pro LT"/>
          <w:b/>
          <w:bCs/>
          <w:sz w:val="22"/>
          <w:szCs w:val="22"/>
        </w:rPr>
        <w:t xml:space="preserve"> </w:t>
      </w:r>
      <w:r w:rsidR="00042041">
        <w:rPr>
          <w:rFonts w:ascii="Gotham Pro LT" w:eastAsia="Times New Roman" w:hAnsi="Gotham Pro LT" w:cs="Gotham Pro LT"/>
          <w:sz w:val="22"/>
          <w:szCs w:val="22"/>
        </w:rPr>
        <w:t>transportlīdzekļa</w:t>
      </w:r>
      <w:r w:rsidR="00042041" w:rsidRPr="00042041">
        <w:rPr>
          <w:rFonts w:ascii="Gotham Pro LT" w:eastAsia="Times New Roman" w:hAnsi="Gotham Pro LT" w:cs="Gotham Pro LT"/>
          <w:sz w:val="22"/>
          <w:szCs w:val="22"/>
        </w:rPr>
        <w:t xml:space="preserve">, kad </w:t>
      </w:r>
      <w:r w:rsidR="00042041">
        <w:rPr>
          <w:rFonts w:ascii="Gotham Pro LT" w:eastAsia="Times New Roman" w:hAnsi="Gotham Pro LT" w:cs="Gotham Pro LT"/>
          <w:sz w:val="22"/>
          <w:szCs w:val="22"/>
        </w:rPr>
        <w:t>transportlīdzeklim</w:t>
      </w:r>
      <w:r w:rsidR="00042041" w:rsidRPr="00042041">
        <w:rPr>
          <w:rFonts w:ascii="Gotham Pro LT" w:eastAsia="Times New Roman" w:hAnsi="Gotham Pro LT" w:cs="Gotham Pro LT"/>
          <w:sz w:val="22"/>
          <w:szCs w:val="22"/>
        </w:rPr>
        <w:t xml:space="preserve"> </w:t>
      </w:r>
      <w:r w:rsidR="00042041" w:rsidRPr="00042041">
        <w:rPr>
          <w:rFonts w:ascii="Gotham Pro LT" w:hAnsi="Gotham Pro LT" w:cs="Gotham Pro LT"/>
          <w:sz w:val="22"/>
          <w:szCs w:val="22"/>
          <w:shd w:val="clear" w:color="auto" w:fill="FFFFFF"/>
        </w:rPr>
        <w:t xml:space="preserve">nav nekādas numura zīmes vai ja tam ir numura zīme, kas neatbilst </w:t>
      </w:r>
      <w:r w:rsidR="00042041">
        <w:rPr>
          <w:rFonts w:ascii="Gotham Pro LT" w:hAnsi="Gotham Pro LT" w:cs="Gotham Pro LT"/>
          <w:sz w:val="22"/>
          <w:szCs w:val="22"/>
          <w:shd w:val="clear" w:color="auto" w:fill="FFFFFF"/>
        </w:rPr>
        <w:t>transportlīdzeklim</w:t>
      </w:r>
      <w:r w:rsidR="00042041" w:rsidRPr="00042041">
        <w:rPr>
          <w:rFonts w:ascii="Gotham Pro LT" w:hAnsi="Gotham Pro LT" w:cs="Gotham Pro LT"/>
          <w:sz w:val="22"/>
          <w:szCs w:val="22"/>
          <w:shd w:val="clear" w:color="auto" w:fill="FFFFFF"/>
        </w:rPr>
        <w:t>,</w:t>
      </w:r>
      <w:r w:rsidR="00042041" w:rsidRPr="00042041">
        <w:rPr>
          <w:rFonts w:ascii="Gotham Pro LT" w:eastAsia="Times New Roman" w:hAnsi="Gotham Pro LT" w:cs="Gotham Pro LT"/>
          <w:sz w:val="22"/>
          <w:szCs w:val="22"/>
        </w:rPr>
        <w:t xml:space="preserve">  nodarīto zaudējumu atlīdzināšanu ir atbildīga tā dalībvalsts, kurā notiek ceļu satiksmes negadījums, bet atbilstoši Zaļās kartes sistēmas Iekšējās kārtības noteikumiem (Internal Regulations, pieejami </w:t>
      </w:r>
      <w:hyperlink r:id="rId14" w:history="1">
        <w:r w:rsidR="00042041" w:rsidRPr="00042041">
          <w:rPr>
            <w:rStyle w:val="Hyperlink"/>
            <w:rFonts w:ascii="Gotham Pro LT" w:eastAsia="Times New Roman" w:hAnsi="Gotham Pro LT" w:cs="Gotham Pro LT"/>
            <w:color w:val="auto"/>
            <w:sz w:val="22"/>
            <w:szCs w:val="22"/>
          </w:rPr>
          <w:t>www.cobx.org</w:t>
        </w:r>
      </w:hyperlink>
      <w:r w:rsidR="00042041" w:rsidRPr="00042041">
        <w:rPr>
          <w:rFonts w:ascii="Gotham Pro LT" w:eastAsia="Times New Roman" w:hAnsi="Gotham Pro LT" w:cs="Gotham Pro LT"/>
          <w:sz w:val="22"/>
          <w:szCs w:val="22"/>
        </w:rPr>
        <w:t xml:space="preserve">, ar izmaiņām, kas spēkā no 20.10.2020.) katrai dalībvalstij jāuzņemas atbildība par šāda </w:t>
      </w:r>
      <w:r w:rsidR="00042041">
        <w:rPr>
          <w:rFonts w:ascii="Gotham Pro LT" w:eastAsia="Times New Roman" w:hAnsi="Gotham Pro LT" w:cs="Gotham Pro LT"/>
          <w:sz w:val="22"/>
          <w:szCs w:val="22"/>
        </w:rPr>
        <w:t>transportlīdzekļa</w:t>
      </w:r>
      <w:r w:rsidR="00042041" w:rsidRPr="00042041">
        <w:rPr>
          <w:rFonts w:ascii="Gotham Pro LT" w:eastAsia="Times New Roman" w:hAnsi="Gotham Pro LT" w:cs="Gotham Pro LT"/>
          <w:sz w:val="22"/>
          <w:szCs w:val="22"/>
        </w:rPr>
        <w:t xml:space="preserve"> nodarītajiem zaudējumiem vēl 3 mēnešus no dienas, kad </w:t>
      </w:r>
      <w:r w:rsidR="00042041">
        <w:rPr>
          <w:rFonts w:ascii="Gotham Pro LT" w:eastAsia="Times New Roman" w:hAnsi="Gotham Pro LT" w:cs="Gotham Pro LT"/>
          <w:sz w:val="22"/>
          <w:szCs w:val="22"/>
        </w:rPr>
        <w:t>transportlīdzeklis</w:t>
      </w:r>
      <w:r w:rsidR="00042041" w:rsidRPr="00042041">
        <w:rPr>
          <w:rFonts w:ascii="Gotham Pro LT" w:eastAsia="Times New Roman" w:hAnsi="Gotham Pro LT" w:cs="Gotham Pro LT"/>
          <w:sz w:val="22"/>
          <w:szCs w:val="22"/>
        </w:rPr>
        <w:t xml:space="preserve"> ir izslēgts no reģistra. Atbilstoši </w:t>
      </w:r>
      <w:r w:rsidR="00042041">
        <w:rPr>
          <w:rFonts w:ascii="Gotham Pro LT" w:eastAsia="Times New Roman" w:hAnsi="Gotham Pro LT" w:cs="Gotham Pro LT"/>
          <w:sz w:val="22"/>
          <w:szCs w:val="22"/>
        </w:rPr>
        <w:t>D</w:t>
      </w:r>
      <w:r w:rsidR="00042041" w:rsidRPr="00042041">
        <w:rPr>
          <w:rFonts w:ascii="Gotham Pro LT" w:eastAsia="Times New Roman" w:hAnsi="Gotham Pro LT" w:cs="Gotham Pro LT"/>
          <w:sz w:val="22"/>
          <w:szCs w:val="22"/>
        </w:rPr>
        <w:t>irektīvas prasībām par šāda</w:t>
      </w:r>
      <w:r w:rsidR="00042041" w:rsidRPr="00042041">
        <w:rPr>
          <w:rFonts w:ascii="Gotham Pro LT" w:eastAsia="Times New Roman" w:hAnsi="Gotham Pro LT" w:cs="Gotham Pro LT"/>
          <w:b/>
          <w:bCs/>
          <w:sz w:val="22"/>
          <w:szCs w:val="22"/>
        </w:rPr>
        <w:t xml:space="preserve"> </w:t>
      </w:r>
      <w:r w:rsidR="00042041">
        <w:rPr>
          <w:rFonts w:ascii="Gotham Pro LT" w:eastAsia="Times New Roman" w:hAnsi="Gotham Pro LT" w:cs="Gotham Pro LT"/>
          <w:sz w:val="22"/>
          <w:szCs w:val="22"/>
        </w:rPr>
        <w:t>transportlīdzekļa</w:t>
      </w:r>
      <w:r w:rsidR="00042041" w:rsidRPr="00042041">
        <w:rPr>
          <w:rFonts w:ascii="Gotham Pro LT" w:eastAsia="Times New Roman" w:hAnsi="Gotham Pro LT" w:cs="Gotham Pro LT"/>
          <w:sz w:val="22"/>
          <w:szCs w:val="22"/>
        </w:rPr>
        <w:t xml:space="preserve"> nodarītajiem zaudējumiem atbild tās valsts Garantijas fonds, kur ir noticis ceļu satiksmes negadījums.</w:t>
      </w:r>
      <w:r w:rsidR="00042041">
        <w:rPr>
          <w:rFonts w:ascii="Gotham Pro LT" w:eastAsia="Times New Roman" w:hAnsi="Gotham Pro LT" w:cs="Gotham Pro LT"/>
          <w:sz w:val="22"/>
          <w:szCs w:val="22"/>
        </w:rPr>
        <w:t xml:space="preserve"> </w:t>
      </w:r>
    </w:p>
    <w:p w14:paraId="179561E4" w14:textId="094BA3D2" w:rsidR="000A7571" w:rsidRPr="008C3A10" w:rsidRDefault="0065694E" w:rsidP="004C5B6A">
      <w:pPr>
        <w:pStyle w:val="NoSpacing"/>
        <w:spacing w:after="120"/>
        <w:ind w:right="-1" w:firstLine="851"/>
        <w:jc w:val="both"/>
        <w:rPr>
          <w:rFonts w:ascii="Gotham Pro LT" w:hAnsi="Gotham Pro LT" w:cs="Gotham Pro LT"/>
          <w:color w:val="262626" w:themeColor="text1" w:themeTint="D9"/>
          <w:sz w:val="22"/>
          <w:szCs w:val="22"/>
          <w:shd w:val="clear" w:color="auto" w:fill="FFFFFF"/>
        </w:rPr>
      </w:pPr>
      <w:r w:rsidRPr="008C3A10">
        <w:rPr>
          <w:rFonts w:ascii="Gotham Pro LT" w:hAnsi="Gotham Pro LT" w:cs="Gotham Pro LT"/>
          <w:color w:val="262626" w:themeColor="text1" w:themeTint="D9"/>
          <w:sz w:val="22"/>
          <w:szCs w:val="22"/>
        </w:rPr>
        <w:t>2) OCTA likuma 10.panta papildināšana ar astoto daļu - j</w:t>
      </w:r>
      <w:r w:rsidR="000A7571" w:rsidRPr="008C3A10">
        <w:rPr>
          <w:rFonts w:ascii="Gotham Pro LT" w:hAnsi="Gotham Pro LT" w:cs="Gotham Pro LT"/>
          <w:color w:val="262626" w:themeColor="text1" w:themeTint="D9"/>
          <w:sz w:val="22"/>
          <w:szCs w:val="22"/>
        </w:rPr>
        <w:t xml:space="preserve">autājums par atteikuma tiesību piemērošanu distancē slēgtiem </w:t>
      </w:r>
      <w:r w:rsidR="000A7571" w:rsidRPr="008C3A10">
        <w:rPr>
          <w:rFonts w:ascii="Gotham Pro LT" w:hAnsi="Gotham Pro LT" w:cs="Gotham Pro LT"/>
          <w:color w:val="262626" w:themeColor="text1" w:themeTint="D9"/>
          <w:sz w:val="22"/>
          <w:szCs w:val="22"/>
          <w:shd w:val="clear" w:color="auto" w:fill="FFFFFF"/>
        </w:rPr>
        <w:t>OCTA līgumiem ik pa laikam ir bijis aktuāls arī OCTA jomā, bet, neskatoties uz to,</w:t>
      </w:r>
      <w:r w:rsidR="000A7571" w:rsidRPr="008C3A10">
        <w:rPr>
          <w:rFonts w:ascii="Gotham Pro LT" w:hAnsi="Gotham Pro LT" w:cs="Gotham Pro LT"/>
          <w:color w:val="262626" w:themeColor="text1" w:themeTint="D9"/>
          <w:sz w:val="22"/>
          <w:szCs w:val="22"/>
        </w:rPr>
        <w:t xml:space="preserve"> LTAB netiek saņemtas sūdzības par atteikuma tiesību īstenošanas problēmām.</w:t>
      </w:r>
    </w:p>
    <w:p w14:paraId="58D91DC6" w14:textId="77777777" w:rsidR="000A7571" w:rsidRPr="008C3A10" w:rsidRDefault="000A7571" w:rsidP="004C5B6A">
      <w:pPr>
        <w:pStyle w:val="ListParagraph"/>
        <w:spacing w:after="120"/>
        <w:ind w:left="0" w:firstLine="851"/>
        <w:jc w:val="both"/>
        <w:rPr>
          <w:rFonts w:ascii="Gotham Pro LT" w:hAnsi="Gotham Pro LT" w:cs="Gotham Pro LT"/>
          <w:color w:val="262626" w:themeColor="text1" w:themeTint="D9"/>
        </w:rPr>
      </w:pPr>
      <w:r w:rsidRPr="008C3A10">
        <w:rPr>
          <w:rFonts w:ascii="Gotham Pro LT" w:hAnsi="Gotham Pro LT" w:cs="Gotham Pro LT"/>
          <w:color w:val="262626" w:themeColor="text1" w:themeTint="D9"/>
        </w:rPr>
        <w:t xml:space="preserve">01.12.2008. notika Patērētāju tiesību aizsardzības centra (turpmāk – PTAC) rīkotā diskusija, kur piedalījās Ekonomikas ministrijas, PTAC un LTAB pārstāvji, apspriežot iespējamos risinājumus saistībā ar OCTA distances līgumu, atteikuma tiesībām un to piemērošanu. PTAC sākotnēji piedāvātais risinājums bija izmantot Ministru kabineta 21.12.2004. noteikumu Nr.1037 „Noteikumi par distances līgumu par finanšu pakalpojumu sniegšanu” (šobrīd nav spēkā) 21.3. punktā iekļauto atrunu, ka patērētājs nevar izmantot atteikuma tiesības attiecībā uz līgumiem, kuru izpildījums ir pilnībā pabeigts pēc patērētāja nepārprotama pieprasījuma, pirms patērētājs izmanto savas atteikuma tiesības. Sākotnēji PTAC pauda viedokli, ka OCTA jomā šādu nosacījumu varētu attiecināt uz OCTA līgumiem, kas stājas spēkā to noslēgšanas brīdī, bet nobeigumā izskanēja viedoklis, </w:t>
      </w:r>
      <w:r w:rsidRPr="008C3A10">
        <w:rPr>
          <w:rFonts w:ascii="Gotham Pro LT" w:hAnsi="Gotham Pro LT" w:cs="Gotham Pro LT"/>
          <w:color w:val="262626" w:themeColor="text1" w:themeTint="D9"/>
        </w:rPr>
        <w:lastRenderedPageBreak/>
        <w:t xml:space="preserve">ka tomēr izmantot atteikuma tiesības šajā gadījumā ir stipri apgrūtinoši un tas ir katras apdrošināšanas sabiedrības ziņā, kā rīkoties. </w:t>
      </w:r>
    </w:p>
    <w:p w14:paraId="1C582CBE" w14:textId="3AD09113" w:rsidR="000A7571" w:rsidRPr="008C3A10" w:rsidRDefault="000A7571" w:rsidP="00B85434">
      <w:pPr>
        <w:pStyle w:val="ListParagraph"/>
        <w:spacing w:after="120"/>
        <w:ind w:left="0" w:firstLine="851"/>
        <w:jc w:val="both"/>
        <w:rPr>
          <w:rFonts w:ascii="Gotham Pro LT" w:hAnsi="Gotham Pro LT" w:cs="Gotham Pro LT"/>
          <w:color w:val="262626" w:themeColor="text1" w:themeTint="D9"/>
        </w:rPr>
      </w:pPr>
      <w:r w:rsidRPr="008C3A10">
        <w:rPr>
          <w:rFonts w:ascii="Gotham Pro LT" w:hAnsi="Gotham Pro LT" w:cs="Gotham Pro LT"/>
          <w:color w:val="262626" w:themeColor="text1" w:themeTint="D9"/>
        </w:rPr>
        <w:t xml:space="preserve">Praksē ik pa laikam pašu OCTA apdrošinātāju starpā ir aktualizējies jautājums par atteikuma tiesību piemērošanu distancē slēgtiem OCTA līgumiem, ņemot vērā to, ka OCTA likuma 10.pants, kas paredz gadījumus, kad OCTA līgumus var izbeigt pirms termiņa, neparedz OCTA līguma izbeigšanos atteikuma tiesību piemērošanas gadījumā. Ir apdrošinātāji, kas praktizē atteikuma tiesību izmantošanu, ir apdrošinātāji, kas nepraktizē, un ir tādi apdrošinātāji, kas atteikuma tiesības piemēro tikai tajos gadījumos, kad distancē slēgts OCTA līgums ir noslēgts, bet nav vēl stājies spēkā. </w:t>
      </w:r>
    </w:p>
    <w:p w14:paraId="0DA5FBAC" w14:textId="78F8CDDC" w:rsidR="00B85434" w:rsidRPr="008C3A10" w:rsidRDefault="00B85434" w:rsidP="001E16AB">
      <w:pPr>
        <w:pStyle w:val="tv213"/>
        <w:shd w:val="clear" w:color="auto" w:fill="FFFFFF"/>
        <w:spacing w:before="0" w:beforeAutospacing="0" w:after="120" w:afterAutospacing="0"/>
        <w:ind w:firstLine="851"/>
        <w:jc w:val="both"/>
        <w:rPr>
          <w:rFonts w:ascii="Gotham Pro LT" w:hAnsi="Gotham Pro LT" w:cs="Gotham Pro LT"/>
          <w:color w:val="262626" w:themeColor="text1" w:themeTint="D9"/>
          <w:sz w:val="22"/>
          <w:szCs w:val="22"/>
        </w:rPr>
      </w:pPr>
      <w:r w:rsidRPr="008C3A10">
        <w:rPr>
          <w:rFonts w:ascii="Gotham Pro LT" w:hAnsi="Gotham Pro LT" w:cs="Gotham Pro LT"/>
          <w:color w:val="262626" w:themeColor="text1" w:themeTint="D9"/>
          <w:sz w:val="22"/>
          <w:szCs w:val="22"/>
        </w:rPr>
        <w:t xml:space="preserve">Likuma 52.pantā ir noteikts, ka Ceļu satiksmes drošības direkcija un Valsts tehniskās uzraudzības aģentūra pirms transportlīdzekļa tehniskās apskates pārbauda attiecīgā transportlīdzekļa īpašnieka civiltiesiskās atbildības obligātās apdrošināšanas līguma spēkā esamību. Transportlīdzekļa tehniskā apskate netiek veikta, ja transportlīdzekļa īpašnieka civiltiesiskā atbildība nav apdrošināta. </w:t>
      </w:r>
      <w:r w:rsidR="00A708EC" w:rsidRPr="008C3A10">
        <w:rPr>
          <w:rFonts w:ascii="Gotham Pro LT" w:hAnsi="Gotham Pro LT" w:cs="Gotham Pro LT"/>
          <w:color w:val="262626" w:themeColor="text1" w:themeTint="D9"/>
          <w:sz w:val="22"/>
          <w:szCs w:val="22"/>
        </w:rPr>
        <w:t>Praksē</w:t>
      </w:r>
      <w:r w:rsidRPr="008C3A10">
        <w:rPr>
          <w:rFonts w:ascii="Gotham Pro LT" w:hAnsi="Gotham Pro LT" w:cs="Gotham Pro LT"/>
          <w:color w:val="262626" w:themeColor="text1" w:themeTint="D9"/>
          <w:sz w:val="22"/>
          <w:szCs w:val="22"/>
        </w:rPr>
        <w:t xml:space="preserve"> </w:t>
      </w:r>
      <w:r w:rsidR="00BE1866" w:rsidRPr="008C3A10">
        <w:rPr>
          <w:rFonts w:ascii="Gotham Pro LT" w:hAnsi="Gotham Pro LT" w:cs="Gotham Pro LT"/>
          <w:color w:val="262626" w:themeColor="text1" w:themeTint="D9"/>
          <w:sz w:val="22"/>
          <w:szCs w:val="22"/>
        </w:rPr>
        <w:t xml:space="preserve">atteikuma tiesības </w:t>
      </w:r>
      <w:r w:rsidR="00A708EC" w:rsidRPr="008C3A10">
        <w:rPr>
          <w:rFonts w:ascii="Gotham Pro LT" w:hAnsi="Gotham Pro LT" w:cs="Gotham Pro LT"/>
          <w:color w:val="262626" w:themeColor="text1" w:themeTint="D9"/>
          <w:sz w:val="22"/>
          <w:szCs w:val="22"/>
        </w:rPr>
        <w:t>tiek izmantotas</w:t>
      </w:r>
      <w:r w:rsidR="0084611C" w:rsidRPr="008C3A10">
        <w:rPr>
          <w:rFonts w:ascii="Gotham Pro LT" w:hAnsi="Gotham Pro LT" w:cs="Gotham Pro LT"/>
          <w:color w:val="262626" w:themeColor="text1" w:themeTint="D9"/>
          <w:sz w:val="22"/>
          <w:szCs w:val="22"/>
        </w:rPr>
        <w:t xml:space="preserve"> arī šādās situācijās – tiek </w:t>
      </w:r>
      <w:r w:rsidR="00A708EC" w:rsidRPr="008C3A10">
        <w:rPr>
          <w:rFonts w:ascii="Gotham Pro LT" w:hAnsi="Gotham Pro LT" w:cs="Gotham Pro LT"/>
          <w:color w:val="262626" w:themeColor="text1" w:themeTint="D9"/>
          <w:sz w:val="22"/>
          <w:szCs w:val="22"/>
        </w:rPr>
        <w:t>noslēg</w:t>
      </w:r>
      <w:r w:rsidR="0084611C" w:rsidRPr="008C3A10">
        <w:rPr>
          <w:rFonts w:ascii="Gotham Pro LT" w:hAnsi="Gotham Pro LT" w:cs="Gotham Pro LT"/>
          <w:color w:val="262626" w:themeColor="text1" w:themeTint="D9"/>
          <w:sz w:val="22"/>
          <w:szCs w:val="22"/>
        </w:rPr>
        <w:t>ts</w:t>
      </w:r>
      <w:r w:rsidR="00A708EC" w:rsidRPr="008C3A10">
        <w:rPr>
          <w:rFonts w:ascii="Gotham Pro LT" w:hAnsi="Gotham Pro LT" w:cs="Gotham Pro LT"/>
          <w:color w:val="262626" w:themeColor="text1" w:themeTint="D9"/>
          <w:sz w:val="22"/>
          <w:szCs w:val="22"/>
        </w:rPr>
        <w:t xml:space="preserve"> </w:t>
      </w:r>
      <w:r w:rsidR="00BE1866" w:rsidRPr="008C3A10">
        <w:rPr>
          <w:rFonts w:ascii="Gotham Pro LT" w:hAnsi="Gotham Pro LT" w:cs="Gotham Pro LT"/>
          <w:color w:val="262626" w:themeColor="text1" w:themeTint="D9"/>
          <w:sz w:val="22"/>
          <w:szCs w:val="22"/>
        </w:rPr>
        <w:t>OCTA līgum</w:t>
      </w:r>
      <w:r w:rsidR="0084611C" w:rsidRPr="008C3A10">
        <w:rPr>
          <w:rFonts w:ascii="Gotham Pro LT" w:hAnsi="Gotham Pro LT" w:cs="Gotham Pro LT"/>
          <w:color w:val="262626" w:themeColor="text1" w:themeTint="D9"/>
          <w:sz w:val="22"/>
          <w:szCs w:val="22"/>
        </w:rPr>
        <w:t>s</w:t>
      </w:r>
      <w:r w:rsidR="00BE1866" w:rsidRPr="008C3A10">
        <w:rPr>
          <w:rFonts w:ascii="Gotham Pro LT" w:hAnsi="Gotham Pro LT" w:cs="Gotham Pro LT"/>
          <w:color w:val="262626" w:themeColor="text1" w:themeTint="D9"/>
          <w:sz w:val="22"/>
          <w:szCs w:val="22"/>
        </w:rPr>
        <w:t xml:space="preserve">, </w:t>
      </w:r>
      <w:r w:rsidR="0084611C" w:rsidRPr="008C3A10">
        <w:rPr>
          <w:rFonts w:ascii="Gotham Pro LT" w:hAnsi="Gotham Pro LT" w:cs="Gotham Pro LT"/>
          <w:color w:val="262626" w:themeColor="text1" w:themeTint="D9"/>
          <w:sz w:val="22"/>
          <w:szCs w:val="22"/>
        </w:rPr>
        <w:t xml:space="preserve">tiek </w:t>
      </w:r>
      <w:r w:rsidR="00BE1866" w:rsidRPr="008C3A10">
        <w:rPr>
          <w:rFonts w:ascii="Gotham Pro LT" w:hAnsi="Gotham Pro LT" w:cs="Gotham Pro LT"/>
          <w:color w:val="262626" w:themeColor="text1" w:themeTint="D9"/>
          <w:sz w:val="22"/>
          <w:szCs w:val="22"/>
        </w:rPr>
        <w:t>iziet</w:t>
      </w:r>
      <w:r w:rsidR="0084611C" w:rsidRPr="008C3A10">
        <w:rPr>
          <w:rFonts w:ascii="Gotham Pro LT" w:hAnsi="Gotham Pro LT" w:cs="Gotham Pro LT"/>
          <w:color w:val="262626" w:themeColor="text1" w:themeTint="D9"/>
          <w:sz w:val="22"/>
          <w:szCs w:val="22"/>
        </w:rPr>
        <w:t>a</w:t>
      </w:r>
      <w:r w:rsidR="00BE1866" w:rsidRPr="008C3A10">
        <w:rPr>
          <w:rFonts w:ascii="Gotham Pro LT" w:hAnsi="Gotham Pro LT" w:cs="Gotham Pro LT"/>
          <w:color w:val="262626" w:themeColor="text1" w:themeTint="D9"/>
          <w:sz w:val="22"/>
          <w:szCs w:val="22"/>
        </w:rPr>
        <w:t xml:space="preserve"> valsts tehnisko apskat</w:t>
      </w:r>
      <w:r w:rsidR="0084611C" w:rsidRPr="008C3A10">
        <w:rPr>
          <w:rFonts w:ascii="Gotham Pro LT" w:hAnsi="Gotham Pro LT" w:cs="Gotham Pro LT"/>
          <w:color w:val="262626" w:themeColor="text1" w:themeTint="D9"/>
          <w:sz w:val="22"/>
          <w:szCs w:val="22"/>
        </w:rPr>
        <w:t>e</w:t>
      </w:r>
      <w:r w:rsidR="00BE1866" w:rsidRPr="008C3A10">
        <w:rPr>
          <w:rFonts w:ascii="Gotham Pro LT" w:hAnsi="Gotham Pro LT" w:cs="Gotham Pro LT"/>
          <w:color w:val="262626" w:themeColor="text1" w:themeTint="D9"/>
          <w:sz w:val="22"/>
          <w:szCs w:val="22"/>
        </w:rPr>
        <w:t xml:space="preserve"> un tad </w:t>
      </w:r>
      <w:r w:rsidR="0084611C" w:rsidRPr="008C3A10">
        <w:rPr>
          <w:rFonts w:ascii="Gotham Pro LT" w:hAnsi="Gotham Pro LT" w:cs="Gotham Pro LT"/>
          <w:color w:val="262626" w:themeColor="text1" w:themeTint="D9"/>
          <w:sz w:val="22"/>
          <w:szCs w:val="22"/>
        </w:rPr>
        <w:t xml:space="preserve">attiecīgi </w:t>
      </w:r>
      <w:r w:rsidR="00A708EC" w:rsidRPr="008C3A10">
        <w:rPr>
          <w:rFonts w:ascii="Gotham Pro LT" w:hAnsi="Gotham Pro LT" w:cs="Gotham Pro LT"/>
          <w:color w:val="262626" w:themeColor="text1" w:themeTint="D9"/>
          <w:sz w:val="22"/>
          <w:szCs w:val="22"/>
        </w:rPr>
        <w:t>izbei</w:t>
      </w:r>
      <w:r w:rsidR="0084611C" w:rsidRPr="008C3A10">
        <w:rPr>
          <w:rFonts w:ascii="Gotham Pro LT" w:hAnsi="Gotham Pro LT" w:cs="Gotham Pro LT"/>
          <w:color w:val="262626" w:themeColor="text1" w:themeTint="D9"/>
          <w:sz w:val="22"/>
          <w:szCs w:val="22"/>
        </w:rPr>
        <w:t xml:space="preserve">dz </w:t>
      </w:r>
      <w:r w:rsidR="00A708EC" w:rsidRPr="008C3A10">
        <w:rPr>
          <w:rFonts w:ascii="Gotham Pro LT" w:hAnsi="Gotham Pro LT" w:cs="Gotham Pro LT"/>
          <w:color w:val="262626" w:themeColor="text1" w:themeTint="D9"/>
          <w:sz w:val="22"/>
          <w:szCs w:val="22"/>
        </w:rPr>
        <w:t>OCTA līgumu</w:t>
      </w:r>
      <w:r w:rsidR="0084611C" w:rsidRPr="008C3A10">
        <w:rPr>
          <w:rFonts w:ascii="Gotham Pro LT" w:hAnsi="Gotham Pro LT" w:cs="Gotham Pro LT"/>
          <w:color w:val="262626" w:themeColor="text1" w:themeTint="D9"/>
          <w:sz w:val="22"/>
          <w:szCs w:val="22"/>
        </w:rPr>
        <w:t>, izmantojot atteikuma tiesības</w:t>
      </w:r>
      <w:r w:rsidR="00A708EC" w:rsidRPr="008C3A10">
        <w:rPr>
          <w:rFonts w:ascii="Gotham Pro LT" w:hAnsi="Gotham Pro LT" w:cs="Gotham Pro LT"/>
          <w:color w:val="262626" w:themeColor="text1" w:themeTint="D9"/>
          <w:sz w:val="22"/>
          <w:szCs w:val="22"/>
        </w:rPr>
        <w:t>, tādā veidā apejot likumā noteiktos termiņus, uz kādiem var noslēgt OCTA līgumus.</w:t>
      </w:r>
    </w:p>
    <w:p w14:paraId="2DBBB4B9" w14:textId="4F74AAB0" w:rsidR="00B85434" w:rsidRDefault="000A7571" w:rsidP="000476E2">
      <w:pPr>
        <w:pStyle w:val="tv213"/>
        <w:shd w:val="clear" w:color="auto" w:fill="FFFFFF"/>
        <w:spacing w:before="0" w:beforeAutospacing="0" w:after="120" w:afterAutospacing="0"/>
        <w:ind w:firstLine="851"/>
        <w:jc w:val="both"/>
        <w:rPr>
          <w:rFonts w:ascii="Gotham Pro LT" w:hAnsi="Gotham Pro LT" w:cs="Gotham Pro LT"/>
          <w:color w:val="262626" w:themeColor="text1" w:themeTint="D9"/>
          <w:sz w:val="22"/>
          <w:szCs w:val="22"/>
        </w:rPr>
      </w:pPr>
      <w:r w:rsidRPr="008C3A10">
        <w:rPr>
          <w:rFonts w:ascii="Gotham Pro LT" w:hAnsi="Gotham Pro LT" w:cs="Gotham Pro LT"/>
          <w:color w:val="262626" w:themeColor="text1" w:themeTint="D9"/>
          <w:sz w:val="22"/>
          <w:szCs w:val="22"/>
        </w:rPr>
        <w:t>Lai būtu skaidrība un vienota prakse turpmāk attiecībā uz atteikuma tiesību piemērošanu distancē slēgtiem OCTA līgumiem, OCTA likuma 10.pants papildināms ar astoto daļu piedāvātajā redakcijā.</w:t>
      </w:r>
    </w:p>
    <w:p w14:paraId="49C4F52F" w14:textId="7D112205" w:rsidR="00AC022D" w:rsidRPr="008D4BD9" w:rsidRDefault="00AC022D" w:rsidP="00AC022D">
      <w:pPr>
        <w:pStyle w:val="tv213"/>
        <w:numPr>
          <w:ilvl w:val="0"/>
          <w:numId w:val="19"/>
        </w:numPr>
        <w:shd w:val="clear" w:color="auto" w:fill="FFFFFF"/>
        <w:spacing w:before="0" w:beforeAutospacing="0" w:after="120" w:afterAutospacing="0"/>
        <w:jc w:val="both"/>
        <w:rPr>
          <w:rFonts w:ascii="Gotham Pro LT" w:hAnsi="Gotham Pro LT" w:cs="Gotham Pro LT"/>
          <w:b/>
          <w:bCs/>
          <w:color w:val="262626" w:themeColor="text1" w:themeTint="D9"/>
          <w:sz w:val="22"/>
          <w:szCs w:val="22"/>
        </w:rPr>
      </w:pPr>
      <w:r w:rsidRPr="008D4BD9">
        <w:rPr>
          <w:rFonts w:ascii="Gotham Pro LT" w:hAnsi="Gotham Pro LT" w:cs="Gotham Pro LT"/>
          <w:b/>
          <w:bCs/>
          <w:color w:val="262626" w:themeColor="text1" w:themeTint="D9"/>
          <w:sz w:val="22"/>
          <w:szCs w:val="22"/>
        </w:rPr>
        <w:t xml:space="preserve">Lūdzam ņemt vērā precizējumus un komentārus, kas veikti “track changes” veidā </w:t>
      </w:r>
      <w:r w:rsidR="008D4BD9">
        <w:rPr>
          <w:rFonts w:ascii="Gotham Pro LT" w:hAnsi="Gotham Pro LT" w:cs="Gotham Pro LT"/>
          <w:b/>
          <w:bCs/>
          <w:color w:val="262626" w:themeColor="text1" w:themeTint="D9"/>
          <w:sz w:val="22"/>
          <w:szCs w:val="22"/>
        </w:rPr>
        <w:t xml:space="preserve">pašā </w:t>
      </w:r>
      <w:r w:rsidRPr="008D4BD9">
        <w:rPr>
          <w:rFonts w:ascii="Gotham Pro LT" w:hAnsi="Gotham Pro LT" w:cs="Gotham Pro LT"/>
          <w:b/>
          <w:bCs/>
          <w:color w:val="262626" w:themeColor="text1" w:themeTint="D9"/>
          <w:sz w:val="22"/>
          <w:szCs w:val="22"/>
        </w:rPr>
        <w:t>likumprojektā</w:t>
      </w:r>
      <w:r w:rsidR="000D2D21">
        <w:rPr>
          <w:rFonts w:ascii="Gotham Pro LT" w:hAnsi="Gotham Pro LT" w:cs="Gotham Pro LT"/>
          <w:b/>
          <w:bCs/>
          <w:color w:val="262626" w:themeColor="text1" w:themeTint="D9"/>
          <w:sz w:val="22"/>
          <w:szCs w:val="22"/>
        </w:rPr>
        <w:t xml:space="preserve"> un anotācijā</w:t>
      </w:r>
      <w:r w:rsidRPr="008D4BD9">
        <w:rPr>
          <w:rFonts w:ascii="Gotham Pro LT" w:hAnsi="Gotham Pro LT" w:cs="Gotham Pro LT"/>
          <w:b/>
          <w:bCs/>
          <w:color w:val="262626" w:themeColor="text1" w:themeTint="D9"/>
          <w:sz w:val="22"/>
          <w:szCs w:val="22"/>
        </w:rPr>
        <w:t xml:space="preserve"> (</w:t>
      </w:r>
      <w:r w:rsidR="008D4BD9">
        <w:rPr>
          <w:rFonts w:ascii="Gotham Pro LT" w:hAnsi="Gotham Pro LT" w:cs="Gotham Pro LT"/>
          <w:b/>
          <w:bCs/>
          <w:color w:val="262626" w:themeColor="text1" w:themeTint="D9"/>
          <w:sz w:val="22"/>
          <w:szCs w:val="22"/>
        </w:rPr>
        <w:t>precizējumi</w:t>
      </w:r>
      <w:r w:rsidR="008D4BD9" w:rsidRPr="008D4BD9">
        <w:rPr>
          <w:rFonts w:ascii="Gotham Pro LT" w:hAnsi="Gotham Pro LT" w:cs="Gotham Pro LT"/>
          <w:b/>
          <w:bCs/>
          <w:color w:val="262626" w:themeColor="text1" w:themeTint="D9"/>
          <w:sz w:val="22"/>
          <w:szCs w:val="22"/>
        </w:rPr>
        <w:t xml:space="preserve"> </w:t>
      </w:r>
      <w:r w:rsidRPr="008D4BD9">
        <w:rPr>
          <w:rFonts w:ascii="Gotham Pro LT" w:hAnsi="Gotham Pro LT" w:cs="Gotham Pro LT"/>
          <w:b/>
          <w:bCs/>
          <w:color w:val="262626" w:themeColor="text1" w:themeTint="D9"/>
          <w:sz w:val="22"/>
          <w:szCs w:val="22"/>
        </w:rPr>
        <w:t>pamatā attiecas uz valsts deleģēto uzdevumu tehnisko ekspertu sertificēšanas jomā</w:t>
      </w:r>
      <w:r w:rsidR="008D4BD9">
        <w:rPr>
          <w:rFonts w:ascii="Gotham Pro LT" w:hAnsi="Gotham Pro LT" w:cs="Gotham Pro LT"/>
          <w:b/>
          <w:bCs/>
          <w:color w:val="262626" w:themeColor="text1" w:themeTint="D9"/>
          <w:sz w:val="22"/>
          <w:szCs w:val="22"/>
        </w:rPr>
        <w:t>, bet ne tikai</w:t>
      </w:r>
      <w:r w:rsidRPr="008D4BD9">
        <w:rPr>
          <w:rFonts w:ascii="Gotham Pro LT" w:hAnsi="Gotham Pro LT" w:cs="Gotham Pro LT"/>
          <w:b/>
          <w:bCs/>
          <w:color w:val="262626" w:themeColor="text1" w:themeTint="D9"/>
          <w:sz w:val="22"/>
          <w:szCs w:val="22"/>
        </w:rPr>
        <w:t>).</w:t>
      </w:r>
    </w:p>
    <w:p w14:paraId="6FDE2244" w14:textId="77777777" w:rsidR="00AC022D" w:rsidRPr="008C3A10" w:rsidRDefault="00AC022D" w:rsidP="008D4BD9">
      <w:pPr>
        <w:pStyle w:val="tv213"/>
        <w:shd w:val="clear" w:color="auto" w:fill="FFFFFF"/>
        <w:spacing w:before="0" w:beforeAutospacing="0" w:after="120" w:afterAutospacing="0"/>
        <w:ind w:left="1080"/>
        <w:jc w:val="both"/>
        <w:rPr>
          <w:rFonts w:ascii="Gotham Pro LT" w:hAnsi="Gotham Pro LT" w:cs="Gotham Pro LT"/>
          <w:color w:val="262626" w:themeColor="text1" w:themeTint="D9"/>
          <w:sz w:val="22"/>
          <w:szCs w:val="22"/>
        </w:rPr>
      </w:pPr>
    </w:p>
    <w:p w14:paraId="761A0E35" w14:textId="77777777" w:rsidR="0046122B" w:rsidRPr="008C3A10" w:rsidRDefault="0046122B" w:rsidP="008B4196">
      <w:pPr>
        <w:tabs>
          <w:tab w:val="left" w:pos="720"/>
          <w:tab w:val="center" w:pos="4320"/>
          <w:tab w:val="right" w:pos="8640"/>
        </w:tabs>
        <w:spacing w:after="120" w:line="240" w:lineRule="auto"/>
        <w:jc w:val="both"/>
        <w:rPr>
          <w:rFonts w:ascii="Gotham Pro LT" w:hAnsi="Gotham Pro LT" w:cs="Gotham Pro LT"/>
          <w:color w:val="262626" w:themeColor="text1" w:themeTint="D9"/>
        </w:rPr>
      </w:pPr>
      <w:r w:rsidRPr="008C3A10">
        <w:rPr>
          <w:rFonts w:ascii="Gotham Pro LT" w:hAnsi="Gotham Pro LT" w:cs="Gotham Pro LT"/>
          <w:color w:val="262626" w:themeColor="text1" w:themeTint="D9"/>
        </w:rPr>
        <w:t xml:space="preserve">Ar cieņu, </w:t>
      </w:r>
    </w:p>
    <w:p w14:paraId="609FEC7B" w14:textId="77777777" w:rsidR="0046122B" w:rsidRPr="008C3A10" w:rsidRDefault="0046122B" w:rsidP="008B4196">
      <w:pPr>
        <w:tabs>
          <w:tab w:val="left" w:pos="720"/>
          <w:tab w:val="center" w:pos="4320"/>
          <w:tab w:val="right" w:pos="8640"/>
        </w:tabs>
        <w:spacing w:after="120" w:line="240" w:lineRule="auto"/>
        <w:jc w:val="both"/>
        <w:rPr>
          <w:rFonts w:ascii="Gotham Pro LT" w:hAnsi="Gotham Pro LT" w:cs="Gotham Pro LT"/>
          <w:color w:val="262626" w:themeColor="text1" w:themeTint="D9"/>
        </w:rPr>
      </w:pPr>
    </w:p>
    <w:p w14:paraId="724013CE" w14:textId="77777777" w:rsidR="0046122B" w:rsidRPr="008C3A10" w:rsidRDefault="0046122B" w:rsidP="008B4196">
      <w:pPr>
        <w:tabs>
          <w:tab w:val="left" w:pos="720"/>
          <w:tab w:val="center" w:pos="4320"/>
          <w:tab w:val="right" w:pos="8640"/>
        </w:tabs>
        <w:spacing w:after="120" w:line="240" w:lineRule="auto"/>
        <w:jc w:val="both"/>
        <w:rPr>
          <w:rFonts w:ascii="Gotham Pro LT" w:hAnsi="Gotham Pro LT" w:cs="Gotham Pro LT"/>
          <w:color w:val="262626" w:themeColor="text1" w:themeTint="D9"/>
        </w:rPr>
      </w:pPr>
      <w:r w:rsidRPr="008C3A10">
        <w:rPr>
          <w:rFonts w:ascii="Gotham Pro LT" w:hAnsi="Gotham Pro LT" w:cs="Gotham Pro LT"/>
          <w:color w:val="262626" w:themeColor="text1" w:themeTint="D9"/>
        </w:rPr>
        <w:t>LTAB valdes priekšsēdētājs</w:t>
      </w:r>
    </w:p>
    <w:p w14:paraId="1F44BFF9" w14:textId="77777777" w:rsidR="0046122B" w:rsidRPr="008C3A10" w:rsidRDefault="0046122B" w:rsidP="008B4196">
      <w:pPr>
        <w:spacing w:after="120" w:line="240" w:lineRule="auto"/>
        <w:rPr>
          <w:rFonts w:ascii="Gotham Pro LT" w:hAnsi="Gotham Pro LT" w:cs="Gotham Pro LT"/>
          <w:color w:val="262626" w:themeColor="text1" w:themeTint="D9"/>
        </w:rPr>
      </w:pPr>
      <w:r w:rsidRPr="008C3A10">
        <w:rPr>
          <w:rFonts w:ascii="Gotham Pro LT" w:hAnsi="Gotham Pro LT" w:cs="Gotham Pro LT"/>
          <w:color w:val="262626" w:themeColor="text1" w:themeTint="D9"/>
        </w:rPr>
        <w:t>J. Abāšins</w:t>
      </w:r>
    </w:p>
    <w:p w14:paraId="30E25D27" w14:textId="77777777" w:rsidR="0046122B" w:rsidRPr="008C3A10" w:rsidRDefault="0046122B" w:rsidP="008B4196">
      <w:pPr>
        <w:pStyle w:val="Footer"/>
        <w:spacing w:after="120"/>
        <w:rPr>
          <w:rFonts w:ascii="Gotham Pro LT" w:hAnsi="Gotham Pro LT" w:cs="Gotham Pro LT"/>
          <w:color w:val="262626" w:themeColor="text1" w:themeTint="D9"/>
        </w:rPr>
      </w:pPr>
    </w:p>
    <w:p w14:paraId="08F3997F" w14:textId="21721CE7" w:rsidR="00617E51" w:rsidRPr="008C3A10" w:rsidRDefault="0046122B" w:rsidP="008B4196">
      <w:pPr>
        <w:spacing w:after="120" w:line="240" w:lineRule="auto"/>
        <w:jc w:val="center"/>
        <w:rPr>
          <w:rFonts w:ascii="Gotham Pro LT" w:hAnsi="Gotham Pro LT" w:cs="Gotham Pro LT"/>
          <w:color w:val="262626" w:themeColor="text1" w:themeTint="D9"/>
        </w:rPr>
      </w:pPr>
      <w:r w:rsidRPr="008C3A10">
        <w:rPr>
          <w:rFonts w:ascii="Gotham Pro LT" w:hAnsi="Gotham Pro LT" w:cs="Gotham Pro LT"/>
          <w:color w:val="262626" w:themeColor="text1" w:themeTint="D9"/>
        </w:rPr>
        <w:t>DOKUMENTS IR PARAKSTĪTS AR DROŠU ELEKTRONISKO PARAKSTU UN SATUR LAIKA ZĪMOGU</w:t>
      </w:r>
    </w:p>
    <w:sectPr w:rsidR="00617E51" w:rsidRPr="008C3A10" w:rsidSect="00F821FC">
      <w:headerReference w:type="default" r:id="rId15"/>
      <w:footerReference w:type="default" r:id="rId16"/>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27D7" w14:textId="77777777" w:rsidR="003B2219" w:rsidRDefault="003B2219" w:rsidP="00C62AF7">
      <w:pPr>
        <w:spacing w:after="0" w:line="240" w:lineRule="auto"/>
      </w:pPr>
      <w:r>
        <w:separator/>
      </w:r>
    </w:p>
  </w:endnote>
  <w:endnote w:type="continuationSeparator" w:id="0">
    <w:p w14:paraId="7ACDA25C" w14:textId="77777777" w:rsidR="003B2219" w:rsidRDefault="003B2219"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Pro LT">
    <w:altName w:val="Calibri"/>
    <w:panose1 w:val="020B0604020202020204"/>
    <w:charset w:val="BA"/>
    <w:family w:val="auto"/>
    <w:pitch w:val="variable"/>
    <w:sig w:usb0="80000AAF" w:usb1="5000204A"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6"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08F3998B" wp14:editId="08F3998C">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Biedrība “Latvijas Transportlīdzekļu apdrošinātāju birojs”, Reģ.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iela 4, Rīga, LV-1003, Latvija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3998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" filled="f" fillcolor="#5b9bd5" stroked="f" strokecolor="black [0]" strokeweight="2pt">
              <v:textbox inset="2.88pt,2.88pt,2.88pt,2.88pt">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“Latvijas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w:t>
                    </w:r>
                    <w:proofErr w:type="spellStart"/>
                    <w:r w:rsidRPr="00E3276D">
                      <w:rPr>
                        <w:rFonts w:ascii="Gotham Pro LT" w:hAnsi="Gotham Pro LT" w:cs="Gotham Pro LT"/>
                        <w:color w:val="3B3838"/>
                        <w:sz w:val="18"/>
                        <w:szCs w:val="18"/>
                        <w:lang w:val="en-US"/>
                      </w:rPr>
                      <w:t>Latvija</w:t>
                    </w:r>
                    <w:proofErr w:type="spellEnd"/>
                    <w:r w:rsidRPr="00E3276D">
                      <w:rPr>
                        <w:rFonts w:ascii="Gotham Pro LT" w:hAnsi="Gotham Pro LT" w:cs="Gotham Pro LT"/>
                        <w:color w:val="3B3838"/>
                        <w:sz w:val="18"/>
                        <w:szCs w:val="18"/>
                        <w:lang w:val="en-US"/>
                      </w:rPr>
                      <w:t xml:space="preserve">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08F3998D" wp14:editId="08F3998E">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94CB1"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" strokecolor="#a5a5a5 [2092]" strokeweight="1.5pt"/>
          </w:pict>
        </mc:Fallback>
      </mc:AlternateContent>
    </w:r>
  </w:p>
  <w:p w14:paraId="08F39987" w14:textId="77777777" w:rsidR="00C62AF7" w:rsidRDefault="00C62AF7" w:rsidP="00C62AF7">
    <w:pPr>
      <w:pStyle w:val="Footer"/>
      <w:jc w:val="center"/>
    </w:pPr>
  </w:p>
  <w:p w14:paraId="08F39988" w14:textId="77777777" w:rsidR="00C62AF7" w:rsidRDefault="00C6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9CC6" w14:textId="77777777" w:rsidR="003B2219" w:rsidRDefault="003B2219" w:rsidP="00C62AF7">
      <w:pPr>
        <w:spacing w:after="0" w:line="240" w:lineRule="auto"/>
      </w:pPr>
      <w:r>
        <w:separator/>
      </w:r>
    </w:p>
  </w:footnote>
  <w:footnote w:type="continuationSeparator" w:id="0">
    <w:p w14:paraId="142E4891" w14:textId="77777777" w:rsidR="003B2219" w:rsidRDefault="003B2219" w:rsidP="00C62AF7">
      <w:pPr>
        <w:spacing w:after="0" w:line="240" w:lineRule="auto"/>
      </w:pPr>
      <w:r>
        <w:continuationSeparator/>
      </w:r>
    </w:p>
  </w:footnote>
  <w:footnote w:id="1">
    <w:p w14:paraId="54B89BE9" w14:textId="77777777" w:rsidR="008C3A10" w:rsidRDefault="008C3A10" w:rsidP="008C3A10">
      <w:pPr>
        <w:pStyle w:val="FootnoteText"/>
        <w:jc w:val="both"/>
      </w:pPr>
      <w:r>
        <w:rPr>
          <w:rStyle w:val="FootnoteReference"/>
        </w:rPr>
        <w:footnoteRef/>
      </w:r>
      <w:r>
        <w:t xml:space="preserve"> </w:t>
      </w:r>
      <w:r w:rsidRPr="00250BA0">
        <w:rPr>
          <w:rFonts w:ascii="Gotham Pro LT" w:hAnsi="Gotham Pro LT" w:cs="Gotham Pro LT"/>
          <w:color w:val="444444"/>
          <w:sz w:val="18"/>
          <w:szCs w:val="18"/>
          <w:shd w:val="clear" w:color="auto" w:fill="FFFFFF"/>
        </w:rPr>
        <w:t xml:space="preserve">Eiropas Parlamenta un Padomes Direktīva 2009/103/EK ( 2009. gada 16. septembris ) par civiltiesiskās atbildības apdrošināšanu saistībā ar mehānisko transportlīdzekļu izmantošanu un kontroli saistībā ar pienākumu apdrošināt šādu atbildību </w:t>
      </w:r>
      <w:r w:rsidRPr="00250BA0">
        <w:rPr>
          <w:rFonts w:ascii="Gotham Pro LT" w:hAnsi="Gotham Pro LT" w:cs="Gotham Pro LT"/>
          <w:noProof/>
          <w:sz w:val="18"/>
          <w:szCs w:val="18"/>
        </w:rPr>
        <w:t xml:space="preserve">(pieejama - </w:t>
      </w:r>
      <w:hyperlink r:id="rId1" w:history="1">
        <w:r w:rsidRPr="00250BA0">
          <w:rPr>
            <w:rStyle w:val="Hyperlink"/>
            <w:rFonts w:ascii="Gotham Pro LT" w:hAnsi="Gotham Pro LT" w:cs="Gotham Pro LT"/>
            <w:noProof/>
            <w:sz w:val="18"/>
            <w:szCs w:val="18"/>
          </w:rPr>
          <w:t>https://eur-lex.europa.eu/eli/dir/2009/103/oj/?locale=LV</w:t>
        </w:r>
      </w:hyperlink>
      <w:r w:rsidRPr="00250BA0">
        <w:rPr>
          <w:rFonts w:ascii="Gotham Pro LT" w:hAnsi="Gotham Pro LT" w:cs="Gotham Pro LT"/>
          <w:noProof/>
          <w:sz w:val="18"/>
          <w:szCs w:val="18"/>
        </w:rPr>
        <w:t>)</w:t>
      </w:r>
    </w:p>
  </w:footnote>
  <w:footnote w:id="2">
    <w:p w14:paraId="54CA4903" w14:textId="77777777" w:rsidR="008C3A10" w:rsidRPr="00250BA0" w:rsidRDefault="008C3A10" w:rsidP="008C3A10">
      <w:pPr>
        <w:pStyle w:val="FootnoteText"/>
        <w:jc w:val="both"/>
        <w:rPr>
          <w:rFonts w:ascii="Gotham Pro LT" w:hAnsi="Gotham Pro LT" w:cs="Gotham Pro LT"/>
          <w:sz w:val="18"/>
          <w:szCs w:val="18"/>
        </w:rPr>
      </w:pPr>
      <w:r w:rsidRPr="00250BA0">
        <w:rPr>
          <w:rStyle w:val="FootnoteReference"/>
          <w:rFonts w:ascii="Gotham Pro LT" w:hAnsi="Gotham Pro LT" w:cs="Gotham Pro LT"/>
          <w:sz w:val="18"/>
          <w:szCs w:val="18"/>
        </w:rPr>
        <w:footnoteRef/>
      </w:r>
      <w:r w:rsidRPr="00250BA0">
        <w:rPr>
          <w:rFonts w:ascii="Gotham Pro LT" w:hAnsi="Gotham Pro LT" w:cs="Gotham Pro LT"/>
          <w:sz w:val="18"/>
          <w:szCs w:val="18"/>
        </w:rPr>
        <w:t xml:space="preserve"> </w:t>
      </w:r>
      <w:r w:rsidRPr="006C5714">
        <w:rPr>
          <w:rFonts w:ascii="Gotham Pro LT" w:hAnsi="Gotham Pro LT" w:cs="Gotham Pro LT"/>
          <w:color w:val="444444"/>
          <w:sz w:val="18"/>
          <w:szCs w:val="18"/>
          <w:shd w:val="clear" w:color="auto" w:fill="FFFFFF"/>
        </w:rPr>
        <w:t xml:space="preserve">Zaļo karti jeb starptautisko apdrošināšanas līgumu, kas ir spēkā EEZ valstīs un Šveices Konfederācijā. </w:t>
      </w:r>
    </w:p>
  </w:footnote>
  <w:footnote w:id="3">
    <w:p w14:paraId="6F5FE8EE" w14:textId="77777777" w:rsidR="008C3A10" w:rsidRDefault="008C3A10" w:rsidP="008C3A10">
      <w:pPr>
        <w:pStyle w:val="FootnoteText"/>
        <w:jc w:val="both"/>
      </w:pPr>
      <w:r w:rsidRPr="00250BA0">
        <w:rPr>
          <w:rStyle w:val="FootnoteReference"/>
          <w:rFonts w:ascii="Gotham Pro LT" w:hAnsi="Gotham Pro LT" w:cs="Gotham Pro LT"/>
          <w:sz w:val="18"/>
          <w:szCs w:val="18"/>
        </w:rPr>
        <w:footnoteRef/>
      </w:r>
      <w:r w:rsidRPr="00250BA0">
        <w:rPr>
          <w:rFonts w:ascii="Gotham Pro LT" w:hAnsi="Gotham Pro LT" w:cs="Gotham Pro LT"/>
          <w:sz w:val="18"/>
          <w:szCs w:val="18"/>
        </w:rPr>
        <w:t xml:space="preserve"> </w:t>
      </w:r>
      <w:r w:rsidRPr="00250BA0">
        <w:rPr>
          <w:rFonts w:ascii="Gotham Pro LT" w:hAnsi="Gotham Pro LT" w:cs="Gotham Pro LT"/>
          <w:color w:val="444444"/>
          <w:sz w:val="18"/>
          <w:szCs w:val="18"/>
          <w:shd w:val="clear" w:color="auto" w:fill="FFFFFF"/>
        </w:rPr>
        <w:t>Katra dalībvalsts veic visus atbilstošos pasākumus, lai nodrošinātu, ka tās teritorijā netiek lietoti transportlīdzekļi, kas parasti atrodas trešās valsts teritorijā un iebrauc teritorijā, kurā ir spēkā līgums, ja vien saskaņā ar dažādu dalībvalstu tiesību aktu prasībām teritorijā, kurā ir spēkā līgums, uz šo transportlīdzekļu izraisītiem zaudējumiem vai miesas bojājumiem neattiecas transportlīdzekļu lietošanas civiltiesiskās atbildības obligātā apdrošināšana (Direktīvas 7.pants).</w:t>
      </w:r>
    </w:p>
  </w:footnote>
  <w:footnote w:id="4">
    <w:p w14:paraId="6EA158C2" w14:textId="77777777" w:rsidR="00042041" w:rsidRDefault="00042041" w:rsidP="00042041">
      <w:pPr>
        <w:pStyle w:val="FootnoteText"/>
        <w:jc w:val="both"/>
      </w:pPr>
      <w:r w:rsidRPr="002201AB">
        <w:rPr>
          <w:rStyle w:val="FootnoteReference"/>
          <w:rFonts w:ascii="Gotham Pro LT" w:hAnsi="Gotham Pro LT" w:cs="Gotham Pro LT"/>
          <w:sz w:val="18"/>
          <w:szCs w:val="18"/>
        </w:rPr>
        <w:footnoteRef/>
      </w:r>
      <w:r w:rsidRPr="002201AB">
        <w:rPr>
          <w:rFonts w:ascii="Gotham Pro LT" w:hAnsi="Gotham Pro LT" w:cs="Gotham Pro LT"/>
          <w:sz w:val="18"/>
          <w:szCs w:val="18"/>
        </w:rPr>
        <w:t xml:space="preserve"> </w:t>
      </w:r>
      <w:r w:rsidRPr="002201AB">
        <w:rPr>
          <w:rFonts w:ascii="Gotham Pro LT" w:hAnsi="Gotham Pro LT" w:cs="Gotham Pro LT"/>
          <w:sz w:val="18"/>
          <w:szCs w:val="18"/>
          <w:shd w:val="clear" w:color="auto" w:fill="FFFFFF"/>
        </w:rPr>
        <w:t xml:space="preserve">Direktīva 2009/103/EK </w:t>
      </w:r>
      <w:r w:rsidRPr="002201AB">
        <w:rPr>
          <w:rFonts w:ascii="Gotham Pro LT" w:hAnsi="Gotham Pro LT" w:cs="Gotham Pro LT"/>
          <w:sz w:val="18"/>
          <w:szCs w:val="18"/>
        </w:rPr>
        <w:t xml:space="preserve">1.panta 4.punkta d) apakšpunkts - </w:t>
      </w:r>
      <w:r w:rsidRPr="002201AB">
        <w:rPr>
          <w:rFonts w:ascii="Gotham Pro LT" w:hAnsi="Gotham Pro LT" w:cs="Gotham Pro LT"/>
          <w:sz w:val="18"/>
          <w:szCs w:val="18"/>
          <w:shd w:val="clear" w:color="auto" w:fill="FFFFFF"/>
        </w:rPr>
        <w:t xml:space="preserve">gadījumos, ja </w:t>
      </w:r>
      <w:r>
        <w:rPr>
          <w:rFonts w:ascii="Gotham Pro LT" w:hAnsi="Gotham Pro LT" w:cs="Gotham Pro LT"/>
          <w:sz w:val="18"/>
          <w:szCs w:val="18"/>
          <w:shd w:val="clear" w:color="auto" w:fill="FFFFFF"/>
        </w:rPr>
        <w:t xml:space="preserve">TRL </w:t>
      </w:r>
      <w:r w:rsidRPr="002201AB">
        <w:rPr>
          <w:rFonts w:ascii="Gotham Pro LT" w:hAnsi="Gotham Pro LT" w:cs="Gotham Pro LT"/>
          <w:sz w:val="18"/>
          <w:szCs w:val="18"/>
          <w:shd w:val="clear" w:color="auto" w:fill="FFFFFF"/>
        </w:rPr>
        <w:t xml:space="preserve">nav nekādas numura zīmes vai ja tam ir numura zīme, kas neatbilst vai vairs neatbilst </w:t>
      </w:r>
      <w:r>
        <w:rPr>
          <w:rFonts w:ascii="Gotham Pro LT" w:hAnsi="Gotham Pro LT" w:cs="Gotham Pro LT"/>
          <w:sz w:val="18"/>
          <w:szCs w:val="18"/>
          <w:shd w:val="clear" w:color="auto" w:fill="FFFFFF"/>
        </w:rPr>
        <w:t>TRL</w:t>
      </w:r>
      <w:r w:rsidRPr="002201AB">
        <w:rPr>
          <w:rFonts w:ascii="Gotham Pro LT" w:hAnsi="Gotham Pro LT" w:cs="Gotham Pro LT"/>
          <w:sz w:val="18"/>
          <w:szCs w:val="18"/>
          <w:shd w:val="clear" w:color="auto" w:fill="FFFFFF"/>
        </w:rPr>
        <w:t xml:space="preserve">, un tas ir iesaistīts negadījumā – </w:t>
      </w:r>
      <w:r>
        <w:rPr>
          <w:rFonts w:ascii="Gotham Pro LT" w:hAnsi="Gotham Pro LT" w:cs="Gotham Pro LT"/>
          <w:sz w:val="18"/>
          <w:szCs w:val="18"/>
          <w:shd w:val="clear" w:color="auto" w:fill="FFFFFF"/>
        </w:rPr>
        <w:t xml:space="preserve">par teritoriju, kurā TRL parasti atrodas, jāuzskata </w:t>
      </w:r>
      <w:r w:rsidRPr="002201AB">
        <w:rPr>
          <w:rFonts w:ascii="Gotham Pro LT" w:hAnsi="Gotham Pro LT" w:cs="Gotham Pro LT"/>
          <w:sz w:val="18"/>
          <w:szCs w:val="18"/>
          <w:shd w:val="clear" w:color="auto" w:fill="FFFFFF"/>
        </w:rPr>
        <w:t>tās valsts teritorija, kurā negadījums noticis, prasījuma nokārtošanas nolūkā saskaņā ar Direktīva 2009/103</w:t>
      </w:r>
      <w:r>
        <w:rPr>
          <w:rFonts w:ascii="Gotham Pro LT" w:hAnsi="Gotham Pro LT" w:cs="Gotham Pro LT"/>
          <w:sz w:val="18"/>
          <w:szCs w:val="18"/>
          <w:shd w:val="clear" w:color="auto" w:fill="FFFFFF"/>
        </w:rPr>
        <w:t xml:space="preserve"> </w:t>
      </w:r>
      <w:r w:rsidRPr="002201AB">
        <w:rPr>
          <w:rFonts w:ascii="Gotham Pro LT" w:hAnsi="Gotham Pro LT" w:cs="Gotham Pro LT"/>
          <w:sz w:val="18"/>
          <w:szCs w:val="18"/>
          <w:shd w:val="clear" w:color="auto" w:fill="FFFFFF"/>
        </w:rPr>
        <w:t>2. panta a) punktu vai 10. pantu</w:t>
      </w:r>
      <w:r>
        <w:rPr>
          <w:rFonts w:ascii="Gotham Pro LT" w:hAnsi="Gotham Pro LT" w:cs="Gotham Pro LT"/>
          <w:sz w:val="18"/>
          <w:szCs w:val="18"/>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4" w14:textId="77777777" w:rsidR="00C62AF7" w:rsidRDefault="00FA4202">
    <w:pPr>
      <w:pStyle w:val="Header"/>
    </w:pPr>
    <w:r>
      <w:rPr>
        <w:noProof/>
        <w:lang w:eastAsia="lv-LV"/>
      </w:rPr>
      <w:drawing>
        <wp:inline distT="0" distB="0" distL="0" distR="0" wp14:anchorId="08F39989" wp14:editId="08F3998A">
          <wp:extent cx="1353107" cy="684000"/>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8F39985" w14:textId="77777777" w:rsidR="00C62AF7" w:rsidRDefault="00C62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482"/>
    <w:multiLevelType w:val="hybridMultilevel"/>
    <w:tmpl w:val="051C61DA"/>
    <w:lvl w:ilvl="0" w:tplc="25103412">
      <w:start w:val="1"/>
      <w:numFmt w:val="decimal"/>
      <w:lvlText w:val="%1."/>
      <w:lvlJc w:val="left"/>
      <w:pPr>
        <w:ind w:left="1160" w:hanging="4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0E42FE"/>
    <w:multiLevelType w:val="multilevel"/>
    <w:tmpl w:val="E8C4498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rPr>
        <w:b/>
        <w:bCs/>
        <w:u w:val="singl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9C677B"/>
    <w:multiLevelType w:val="hybridMultilevel"/>
    <w:tmpl w:val="C780129A"/>
    <w:lvl w:ilvl="0" w:tplc="9912C70C">
      <w:start w:val="2"/>
      <w:numFmt w:val="bullet"/>
      <w:lvlText w:val=""/>
      <w:lvlJc w:val="left"/>
      <w:pPr>
        <w:ind w:left="720" w:hanging="360"/>
      </w:pPr>
      <w:rPr>
        <w:rFonts w:ascii="Symbol" w:eastAsia="Times New Roman"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54301F"/>
    <w:multiLevelType w:val="hybridMultilevel"/>
    <w:tmpl w:val="D4961D5E"/>
    <w:lvl w:ilvl="0" w:tplc="D758C6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6053D8"/>
    <w:multiLevelType w:val="hybridMultilevel"/>
    <w:tmpl w:val="B2922818"/>
    <w:lvl w:ilvl="0" w:tplc="FA92564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5E069FD"/>
    <w:multiLevelType w:val="hybridMultilevel"/>
    <w:tmpl w:val="C5004AC4"/>
    <w:lvl w:ilvl="0" w:tplc="B81C8004">
      <w:start w:val="1"/>
      <w:numFmt w:val="bullet"/>
      <w:lvlText w:val=""/>
      <w:lvlJc w:val="left"/>
      <w:pPr>
        <w:tabs>
          <w:tab w:val="num" w:pos="720"/>
        </w:tabs>
        <w:ind w:left="720" w:hanging="360"/>
      </w:pPr>
      <w:rPr>
        <w:rFonts w:ascii="Wingdings" w:hAnsi="Wingdings" w:hint="default"/>
      </w:rPr>
    </w:lvl>
    <w:lvl w:ilvl="1" w:tplc="9FEEF2E0" w:tentative="1">
      <w:start w:val="1"/>
      <w:numFmt w:val="bullet"/>
      <w:lvlText w:val=""/>
      <w:lvlJc w:val="left"/>
      <w:pPr>
        <w:tabs>
          <w:tab w:val="num" w:pos="1440"/>
        </w:tabs>
        <w:ind w:left="1440" w:hanging="360"/>
      </w:pPr>
      <w:rPr>
        <w:rFonts w:ascii="Wingdings" w:hAnsi="Wingdings" w:hint="default"/>
      </w:rPr>
    </w:lvl>
    <w:lvl w:ilvl="2" w:tplc="2786C4A0" w:tentative="1">
      <w:start w:val="1"/>
      <w:numFmt w:val="bullet"/>
      <w:lvlText w:val=""/>
      <w:lvlJc w:val="left"/>
      <w:pPr>
        <w:tabs>
          <w:tab w:val="num" w:pos="2160"/>
        </w:tabs>
        <w:ind w:left="2160" w:hanging="360"/>
      </w:pPr>
      <w:rPr>
        <w:rFonts w:ascii="Wingdings" w:hAnsi="Wingdings" w:hint="default"/>
      </w:rPr>
    </w:lvl>
    <w:lvl w:ilvl="3" w:tplc="DB26D26A" w:tentative="1">
      <w:start w:val="1"/>
      <w:numFmt w:val="bullet"/>
      <w:lvlText w:val=""/>
      <w:lvlJc w:val="left"/>
      <w:pPr>
        <w:tabs>
          <w:tab w:val="num" w:pos="2880"/>
        </w:tabs>
        <w:ind w:left="2880" w:hanging="360"/>
      </w:pPr>
      <w:rPr>
        <w:rFonts w:ascii="Wingdings" w:hAnsi="Wingdings" w:hint="default"/>
      </w:rPr>
    </w:lvl>
    <w:lvl w:ilvl="4" w:tplc="B55ABA44" w:tentative="1">
      <w:start w:val="1"/>
      <w:numFmt w:val="bullet"/>
      <w:lvlText w:val=""/>
      <w:lvlJc w:val="left"/>
      <w:pPr>
        <w:tabs>
          <w:tab w:val="num" w:pos="3600"/>
        </w:tabs>
        <w:ind w:left="3600" w:hanging="360"/>
      </w:pPr>
      <w:rPr>
        <w:rFonts w:ascii="Wingdings" w:hAnsi="Wingdings" w:hint="default"/>
      </w:rPr>
    </w:lvl>
    <w:lvl w:ilvl="5" w:tplc="598E12A4" w:tentative="1">
      <w:start w:val="1"/>
      <w:numFmt w:val="bullet"/>
      <w:lvlText w:val=""/>
      <w:lvlJc w:val="left"/>
      <w:pPr>
        <w:tabs>
          <w:tab w:val="num" w:pos="4320"/>
        </w:tabs>
        <w:ind w:left="4320" w:hanging="360"/>
      </w:pPr>
      <w:rPr>
        <w:rFonts w:ascii="Wingdings" w:hAnsi="Wingdings" w:hint="default"/>
      </w:rPr>
    </w:lvl>
    <w:lvl w:ilvl="6" w:tplc="76109DB6" w:tentative="1">
      <w:start w:val="1"/>
      <w:numFmt w:val="bullet"/>
      <w:lvlText w:val=""/>
      <w:lvlJc w:val="left"/>
      <w:pPr>
        <w:tabs>
          <w:tab w:val="num" w:pos="5040"/>
        </w:tabs>
        <w:ind w:left="5040" w:hanging="360"/>
      </w:pPr>
      <w:rPr>
        <w:rFonts w:ascii="Wingdings" w:hAnsi="Wingdings" w:hint="default"/>
      </w:rPr>
    </w:lvl>
    <w:lvl w:ilvl="7" w:tplc="F49ED202" w:tentative="1">
      <w:start w:val="1"/>
      <w:numFmt w:val="bullet"/>
      <w:lvlText w:val=""/>
      <w:lvlJc w:val="left"/>
      <w:pPr>
        <w:tabs>
          <w:tab w:val="num" w:pos="5760"/>
        </w:tabs>
        <w:ind w:left="5760" w:hanging="360"/>
      </w:pPr>
      <w:rPr>
        <w:rFonts w:ascii="Wingdings" w:hAnsi="Wingdings" w:hint="default"/>
      </w:rPr>
    </w:lvl>
    <w:lvl w:ilvl="8" w:tplc="3D9010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EC78E5"/>
    <w:multiLevelType w:val="hybridMultilevel"/>
    <w:tmpl w:val="789C9664"/>
    <w:lvl w:ilvl="0" w:tplc="1EF27D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9A86806"/>
    <w:multiLevelType w:val="hybridMultilevel"/>
    <w:tmpl w:val="E4366A96"/>
    <w:lvl w:ilvl="0" w:tplc="8B5A75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B1580D"/>
    <w:multiLevelType w:val="hybridMultilevel"/>
    <w:tmpl w:val="4F12DC30"/>
    <w:lvl w:ilvl="0" w:tplc="5C9E7AC4">
      <w:start w:val="1"/>
      <w:numFmt w:val="decimal"/>
      <w:lvlText w:val="%1)"/>
      <w:lvlJc w:val="left"/>
      <w:pPr>
        <w:ind w:left="1440" w:hanging="360"/>
      </w:pPr>
      <w:rPr>
        <w:rFonts w:ascii="Gotham Pro LT" w:hAnsi="Gotham Pro LT" w:cs="Gotham Pro LT" w:hint="default"/>
        <w:sz w:val="22"/>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43825B5"/>
    <w:multiLevelType w:val="hybridMultilevel"/>
    <w:tmpl w:val="6E786B6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976D4B"/>
    <w:multiLevelType w:val="hybridMultilevel"/>
    <w:tmpl w:val="64EE95D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3D4056"/>
    <w:multiLevelType w:val="hybridMultilevel"/>
    <w:tmpl w:val="CE5401A2"/>
    <w:lvl w:ilvl="0" w:tplc="00D2CF7E">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20B1F97"/>
    <w:multiLevelType w:val="hybridMultilevel"/>
    <w:tmpl w:val="C1E63B00"/>
    <w:lvl w:ilvl="0" w:tplc="59C653F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5D73D34"/>
    <w:multiLevelType w:val="hybridMultilevel"/>
    <w:tmpl w:val="FD0EC688"/>
    <w:lvl w:ilvl="0" w:tplc="E088860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89A3D90"/>
    <w:multiLevelType w:val="hybridMultilevel"/>
    <w:tmpl w:val="4DC05220"/>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717833"/>
    <w:multiLevelType w:val="hybridMultilevel"/>
    <w:tmpl w:val="3D1CAAB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4E7178C"/>
    <w:multiLevelType w:val="hybridMultilevel"/>
    <w:tmpl w:val="EEC223E8"/>
    <w:lvl w:ilvl="0" w:tplc="02DCF3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850613E"/>
    <w:multiLevelType w:val="hybridMultilevel"/>
    <w:tmpl w:val="8424D552"/>
    <w:lvl w:ilvl="0" w:tplc="3E2470FA">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8791DC3"/>
    <w:multiLevelType w:val="hybridMultilevel"/>
    <w:tmpl w:val="EB2A4020"/>
    <w:lvl w:ilvl="0" w:tplc="172668C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49E51027"/>
    <w:multiLevelType w:val="hybridMultilevel"/>
    <w:tmpl w:val="97C60792"/>
    <w:lvl w:ilvl="0" w:tplc="8460B664">
      <w:start w:val="1"/>
      <w:numFmt w:val="decimal"/>
      <w:lvlText w:val="%1)"/>
      <w:lvlJc w:val="left"/>
      <w:pPr>
        <w:ind w:left="1440" w:hanging="360"/>
      </w:pPr>
      <w:rPr>
        <w:rFonts w:eastAsia="Calibri" w:hint="default"/>
        <w:u w:val="singl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A7E1334"/>
    <w:multiLevelType w:val="hybridMultilevel"/>
    <w:tmpl w:val="A07C56E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B7F03C4"/>
    <w:multiLevelType w:val="hybridMultilevel"/>
    <w:tmpl w:val="EB944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F1C19B7"/>
    <w:multiLevelType w:val="hybridMultilevel"/>
    <w:tmpl w:val="6EBE099C"/>
    <w:lvl w:ilvl="0" w:tplc="FB7EC542">
      <w:start w:val="1"/>
      <w:numFmt w:val="bullet"/>
      <w:lvlText w:val=""/>
      <w:lvlJc w:val="left"/>
      <w:pPr>
        <w:tabs>
          <w:tab w:val="num" w:pos="720"/>
        </w:tabs>
        <w:ind w:left="720" w:hanging="360"/>
      </w:pPr>
      <w:rPr>
        <w:rFonts w:ascii="Wingdings" w:hAnsi="Wingdings" w:hint="default"/>
      </w:rPr>
    </w:lvl>
    <w:lvl w:ilvl="1" w:tplc="12F0BF00" w:tentative="1">
      <w:start w:val="1"/>
      <w:numFmt w:val="bullet"/>
      <w:lvlText w:val=""/>
      <w:lvlJc w:val="left"/>
      <w:pPr>
        <w:tabs>
          <w:tab w:val="num" w:pos="1440"/>
        </w:tabs>
        <w:ind w:left="1440" w:hanging="360"/>
      </w:pPr>
      <w:rPr>
        <w:rFonts w:ascii="Wingdings" w:hAnsi="Wingdings" w:hint="default"/>
      </w:rPr>
    </w:lvl>
    <w:lvl w:ilvl="2" w:tplc="D70EB9B8" w:tentative="1">
      <w:start w:val="1"/>
      <w:numFmt w:val="bullet"/>
      <w:lvlText w:val=""/>
      <w:lvlJc w:val="left"/>
      <w:pPr>
        <w:tabs>
          <w:tab w:val="num" w:pos="2160"/>
        </w:tabs>
        <w:ind w:left="2160" w:hanging="360"/>
      </w:pPr>
      <w:rPr>
        <w:rFonts w:ascii="Wingdings" w:hAnsi="Wingdings" w:hint="default"/>
      </w:rPr>
    </w:lvl>
    <w:lvl w:ilvl="3" w:tplc="5888E174" w:tentative="1">
      <w:start w:val="1"/>
      <w:numFmt w:val="bullet"/>
      <w:lvlText w:val=""/>
      <w:lvlJc w:val="left"/>
      <w:pPr>
        <w:tabs>
          <w:tab w:val="num" w:pos="2880"/>
        </w:tabs>
        <w:ind w:left="2880" w:hanging="360"/>
      </w:pPr>
      <w:rPr>
        <w:rFonts w:ascii="Wingdings" w:hAnsi="Wingdings" w:hint="default"/>
      </w:rPr>
    </w:lvl>
    <w:lvl w:ilvl="4" w:tplc="E37214E8" w:tentative="1">
      <w:start w:val="1"/>
      <w:numFmt w:val="bullet"/>
      <w:lvlText w:val=""/>
      <w:lvlJc w:val="left"/>
      <w:pPr>
        <w:tabs>
          <w:tab w:val="num" w:pos="3600"/>
        </w:tabs>
        <w:ind w:left="3600" w:hanging="360"/>
      </w:pPr>
      <w:rPr>
        <w:rFonts w:ascii="Wingdings" w:hAnsi="Wingdings" w:hint="default"/>
      </w:rPr>
    </w:lvl>
    <w:lvl w:ilvl="5" w:tplc="86B8BB2A" w:tentative="1">
      <w:start w:val="1"/>
      <w:numFmt w:val="bullet"/>
      <w:lvlText w:val=""/>
      <w:lvlJc w:val="left"/>
      <w:pPr>
        <w:tabs>
          <w:tab w:val="num" w:pos="4320"/>
        </w:tabs>
        <w:ind w:left="4320" w:hanging="360"/>
      </w:pPr>
      <w:rPr>
        <w:rFonts w:ascii="Wingdings" w:hAnsi="Wingdings" w:hint="default"/>
      </w:rPr>
    </w:lvl>
    <w:lvl w:ilvl="6" w:tplc="B09CDF18" w:tentative="1">
      <w:start w:val="1"/>
      <w:numFmt w:val="bullet"/>
      <w:lvlText w:val=""/>
      <w:lvlJc w:val="left"/>
      <w:pPr>
        <w:tabs>
          <w:tab w:val="num" w:pos="5040"/>
        </w:tabs>
        <w:ind w:left="5040" w:hanging="360"/>
      </w:pPr>
      <w:rPr>
        <w:rFonts w:ascii="Wingdings" w:hAnsi="Wingdings" w:hint="default"/>
      </w:rPr>
    </w:lvl>
    <w:lvl w:ilvl="7" w:tplc="480093F8" w:tentative="1">
      <w:start w:val="1"/>
      <w:numFmt w:val="bullet"/>
      <w:lvlText w:val=""/>
      <w:lvlJc w:val="left"/>
      <w:pPr>
        <w:tabs>
          <w:tab w:val="num" w:pos="5760"/>
        </w:tabs>
        <w:ind w:left="5760" w:hanging="360"/>
      </w:pPr>
      <w:rPr>
        <w:rFonts w:ascii="Wingdings" w:hAnsi="Wingdings" w:hint="default"/>
      </w:rPr>
    </w:lvl>
    <w:lvl w:ilvl="8" w:tplc="3BD01D8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2D5768"/>
    <w:multiLevelType w:val="hybridMultilevel"/>
    <w:tmpl w:val="029C87B0"/>
    <w:lvl w:ilvl="0" w:tplc="CF44EA7E">
      <w:start w:val="1"/>
      <w:numFmt w:val="bullet"/>
      <w:lvlText w:val=""/>
      <w:lvlJc w:val="left"/>
      <w:pPr>
        <w:tabs>
          <w:tab w:val="num" w:pos="720"/>
        </w:tabs>
        <w:ind w:left="720" w:hanging="360"/>
      </w:pPr>
      <w:rPr>
        <w:rFonts w:ascii="Wingdings" w:hAnsi="Wingdings" w:hint="default"/>
      </w:rPr>
    </w:lvl>
    <w:lvl w:ilvl="1" w:tplc="7A044790" w:tentative="1">
      <w:start w:val="1"/>
      <w:numFmt w:val="bullet"/>
      <w:lvlText w:val=""/>
      <w:lvlJc w:val="left"/>
      <w:pPr>
        <w:tabs>
          <w:tab w:val="num" w:pos="1440"/>
        </w:tabs>
        <w:ind w:left="1440" w:hanging="360"/>
      </w:pPr>
      <w:rPr>
        <w:rFonts w:ascii="Wingdings" w:hAnsi="Wingdings" w:hint="default"/>
      </w:rPr>
    </w:lvl>
    <w:lvl w:ilvl="2" w:tplc="DB32CF54" w:tentative="1">
      <w:start w:val="1"/>
      <w:numFmt w:val="bullet"/>
      <w:lvlText w:val=""/>
      <w:lvlJc w:val="left"/>
      <w:pPr>
        <w:tabs>
          <w:tab w:val="num" w:pos="2160"/>
        </w:tabs>
        <w:ind w:left="2160" w:hanging="360"/>
      </w:pPr>
      <w:rPr>
        <w:rFonts w:ascii="Wingdings" w:hAnsi="Wingdings" w:hint="default"/>
      </w:rPr>
    </w:lvl>
    <w:lvl w:ilvl="3" w:tplc="5F444EDE" w:tentative="1">
      <w:start w:val="1"/>
      <w:numFmt w:val="bullet"/>
      <w:lvlText w:val=""/>
      <w:lvlJc w:val="left"/>
      <w:pPr>
        <w:tabs>
          <w:tab w:val="num" w:pos="2880"/>
        </w:tabs>
        <w:ind w:left="2880" w:hanging="360"/>
      </w:pPr>
      <w:rPr>
        <w:rFonts w:ascii="Wingdings" w:hAnsi="Wingdings" w:hint="default"/>
      </w:rPr>
    </w:lvl>
    <w:lvl w:ilvl="4" w:tplc="1BD41C78" w:tentative="1">
      <w:start w:val="1"/>
      <w:numFmt w:val="bullet"/>
      <w:lvlText w:val=""/>
      <w:lvlJc w:val="left"/>
      <w:pPr>
        <w:tabs>
          <w:tab w:val="num" w:pos="3600"/>
        </w:tabs>
        <w:ind w:left="3600" w:hanging="360"/>
      </w:pPr>
      <w:rPr>
        <w:rFonts w:ascii="Wingdings" w:hAnsi="Wingdings" w:hint="default"/>
      </w:rPr>
    </w:lvl>
    <w:lvl w:ilvl="5" w:tplc="93082232" w:tentative="1">
      <w:start w:val="1"/>
      <w:numFmt w:val="bullet"/>
      <w:lvlText w:val=""/>
      <w:lvlJc w:val="left"/>
      <w:pPr>
        <w:tabs>
          <w:tab w:val="num" w:pos="4320"/>
        </w:tabs>
        <w:ind w:left="4320" w:hanging="360"/>
      </w:pPr>
      <w:rPr>
        <w:rFonts w:ascii="Wingdings" w:hAnsi="Wingdings" w:hint="default"/>
      </w:rPr>
    </w:lvl>
    <w:lvl w:ilvl="6" w:tplc="52D89624" w:tentative="1">
      <w:start w:val="1"/>
      <w:numFmt w:val="bullet"/>
      <w:lvlText w:val=""/>
      <w:lvlJc w:val="left"/>
      <w:pPr>
        <w:tabs>
          <w:tab w:val="num" w:pos="5040"/>
        </w:tabs>
        <w:ind w:left="5040" w:hanging="360"/>
      </w:pPr>
      <w:rPr>
        <w:rFonts w:ascii="Wingdings" w:hAnsi="Wingdings" w:hint="default"/>
      </w:rPr>
    </w:lvl>
    <w:lvl w:ilvl="7" w:tplc="5888E0AA" w:tentative="1">
      <w:start w:val="1"/>
      <w:numFmt w:val="bullet"/>
      <w:lvlText w:val=""/>
      <w:lvlJc w:val="left"/>
      <w:pPr>
        <w:tabs>
          <w:tab w:val="num" w:pos="5760"/>
        </w:tabs>
        <w:ind w:left="5760" w:hanging="360"/>
      </w:pPr>
      <w:rPr>
        <w:rFonts w:ascii="Wingdings" w:hAnsi="Wingdings" w:hint="default"/>
      </w:rPr>
    </w:lvl>
    <w:lvl w:ilvl="8" w:tplc="9198DE7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A6033D"/>
    <w:multiLevelType w:val="hybridMultilevel"/>
    <w:tmpl w:val="963CF510"/>
    <w:lvl w:ilvl="0" w:tplc="D22EC0F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CAE5654"/>
    <w:multiLevelType w:val="hybridMultilevel"/>
    <w:tmpl w:val="6E66BE36"/>
    <w:lvl w:ilvl="0" w:tplc="E9248AAC">
      <w:start w:val="1"/>
      <w:numFmt w:val="bullet"/>
      <w:lvlText w:val="-"/>
      <w:lvlJc w:val="left"/>
      <w:pPr>
        <w:ind w:left="1440" w:hanging="360"/>
      </w:pPr>
      <w:rPr>
        <w:rFonts w:ascii="Gotham Pro LT" w:eastAsia="Calibri" w:hAnsi="Gotham Pro LT" w:cs="Gotham Pro LT" w:hint="default"/>
        <w:color w:val="00000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AE060A5"/>
    <w:multiLevelType w:val="hybridMultilevel"/>
    <w:tmpl w:val="C93EF858"/>
    <w:lvl w:ilvl="0" w:tplc="B6BCC1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BD2362F"/>
    <w:multiLevelType w:val="hybridMultilevel"/>
    <w:tmpl w:val="D6F2B520"/>
    <w:lvl w:ilvl="0" w:tplc="0426000B">
      <w:start w:val="1"/>
      <w:numFmt w:val="bullet"/>
      <w:lvlText w:val=""/>
      <w:lvlJc w:val="left"/>
      <w:pPr>
        <w:ind w:left="1485" w:hanging="360"/>
      </w:pPr>
      <w:rPr>
        <w:rFonts w:ascii="Wingdings" w:hAnsi="Wingdings" w:hint="default"/>
      </w:rPr>
    </w:lvl>
    <w:lvl w:ilvl="1" w:tplc="04260003">
      <w:start w:val="1"/>
      <w:numFmt w:val="bullet"/>
      <w:lvlText w:val="o"/>
      <w:lvlJc w:val="left"/>
      <w:pPr>
        <w:ind w:left="2205" w:hanging="360"/>
      </w:pPr>
      <w:rPr>
        <w:rFonts w:ascii="Courier New" w:hAnsi="Courier New" w:cs="Courier New" w:hint="default"/>
      </w:rPr>
    </w:lvl>
    <w:lvl w:ilvl="2" w:tplc="04260005">
      <w:start w:val="1"/>
      <w:numFmt w:val="bullet"/>
      <w:lvlText w:val=""/>
      <w:lvlJc w:val="left"/>
      <w:pPr>
        <w:ind w:left="2925" w:hanging="360"/>
      </w:pPr>
      <w:rPr>
        <w:rFonts w:ascii="Wingdings" w:hAnsi="Wingdings" w:hint="default"/>
      </w:rPr>
    </w:lvl>
    <w:lvl w:ilvl="3" w:tplc="04260001">
      <w:start w:val="1"/>
      <w:numFmt w:val="bullet"/>
      <w:lvlText w:val=""/>
      <w:lvlJc w:val="left"/>
      <w:pPr>
        <w:ind w:left="3645" w:hanging="360"/>
      </w:pPr>
      <w:rPr>
        <w:rFonts w:ascii="Symbol" w:hAnsi="Symbol" w:hint="default"/>
      </w:rPr>
    </w:lvl>
    <w:lvl w:ilvl="4" w:tplc="04260003">
      <w:start w:val="1"/>
      <w:numFmt w:val="bullet"/>
      <w:lvlText w:val="o"/>
      <w:lvlJc w:val="left"/>
      <w:pPr>
        <w:ind w:left="4365" w:hanging="360"/>
      </w:pPr>
      <w:rPr>
        <w:rFonts w:ascii="Courier New" w:hAnsi="Courier New" w:cs="Courier New" w:hint="default"/>
      </w:rPr>
    </w:lvl>
    <w:lvl w:ilvl="5" w:tplc="04260005">
      <w:start w:val="1"/>
      <w:numFmt w:val="bullet"/>
      <w:lvlText w:val=""/>
      <w:lvlJc w:val="left"/>
      <w:pPr>
        <w:ind w:left="5085" w:hanging="360"/>
      </w:pPr>
      <w:rPr>
        <w:rFonts w:ascii="Wingdings" w:hAnsi="Wingdings" w:hint="default"/>
      </w:rPr>
    </w:lvl>
    <w:lvl w:ilvl="6" w:tplc="04260001">
      <w:start w:val="1"/>
      <w:numFmt w:val="bullet"/>
      <w:lvlText w:val=""/>
      <w:lvlJc w:val="left"/>
      <w:pPr>
        <w:ind w:left="5805" w:hanging="360"/>
      </w:pPr>
      <w:rPr>
        <w:rFonts w:ascii="Symbol" w:hAnsi="Symbol" w:hint="default"/>
      </w:rPr>
    </w:lvl>
    <w:lvl w:ilvl="7" w:tplc="04260003">
      <w:start w:val="1"/>
      <w:numFmt w:val="bullet"/>
      <w:lvlText w:val="o"/>
      <w:lvlJc w:val="left"/>
      <w:pPr>
        <w:ind w:left="6525" w:hanging="360"/>
      </w:pPr>
      <w:rPr>
        <w:rFonts w:ascii="Courier New" w:hAnsi="Courier New" w:cs="Courier New" w:hint="default"/>
      </w:rPr>
    </w:lvl>
    <w:lvl w:ilvl="8" w:tplc="04260005">
      <w:start w:val="1"/>
      <w:numFmt w:val="bullet"/>
      <w:lvlText w:val=""/>
      <w:lvlJc w:val="left"/>
      <w:pPr>
        <w:ind w:left="7245" w:hanging="360"/>
      </w:pPr>
      <w:rPr>
        <w:rFonts w:ascii="Wingdings" w:hAnsi="Wingdings" w:hint="default"/>
      </w:rPr>
    </w:lvl>
  </w:abstractNum>
  <w:abstractNum w:abstractNumId="28" w15:restartNumberingAfterBreak="0">
    <w:nsid w:val="6CF3047A"/>
    <w:multiLevelType w:val="hybridMultilevel"/>
    <w:tmpl w:val="CE5401A2"/>
    <w:lvl w:ilvl="0" w:tplc="00D2CF7E">
      <w:start w:val="1"/>
      <w:numFmt w:val="decimal"/>
      <w:lvlText w:val="%1."/>
      <w:lvlJc w:val="left"/>
      <w:pPr>
        <w:ind w:left="1080" w:hanging="360"/>
      </w:pPr>
      <w:rPr>
        <w:rFonts w:ascii="Times New Roman" w:hAnsi="Times New Roman" w:cs="Times New Roman" w:hint="default"/>
        <w:sz w:val="24"/>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4DB5083"/>
    <w:multiLevelType w:val="hybridMultilevel"/>
    <w:tmpl w:val="4C641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4A7707"/>
    <w:multiLevelType w:val="hybridMultilevel"/>
    <w:tmpl w:val="5F7A428A"/>
    <w:lvl w:ilvl="0" w:tplc="594648B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127624863">
    <w:abstractNumId w:val="28"/>
  </w:num>
  <w:num w:numId="2" w16cid:durableId="4797306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8709697">
    <w:abstractNumId w:val="27"/>
  </w:num>
  <w:num w:numId="4" w16cid:durableId="875776913">
    <w:abstractNumId w:val="10"/>
  </w:num>
  <w:num w:numId="5" w16cid:durableId="957296408">
    <w:abstractNumId w:val="29"/>
  </w:num>
  <w:num w:numId="6" w16cid:durableId="465971041">
    <w:abstractNumId w:val="3"/>
  </w:num>
  <w:num w:numId="7" w16cid:durableId="458037392">
    <w:abstractNumId w:val="11"/>
  </w:num>
  <w:num w:numId="8" w16cid:durableId="851380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6075618">
    <w:abstractNumId w:val="6"/>
  </w:num>
  <w:num w:numId="10" w16cid:durableId="676926935">
    <w:abstractNumId w:val="25"/>
  </w:num>
  <w:num w:numId="11" w16cid:durableId="303320666">
    <w:abstractNumId w:val="23"/>
  </w:num>
  <w:num w:numId="12" w16cid:durableId="1505439068">
    <w:abstractNumId w:val="22"/>
  </w:num>
  <w:num w:numId="13" w16cid:durableId="1491871070">
    <w:abstractNumId w:val="5"/>
  </w:num>
  <w:num w:numId="14" w16cid:durableId="132334556">
    <w:abstractNumId w:val="17"/>
  </w:num>
  <w:num w:numId="15" w16cid:durableId="677389497">
    <w:abstractNumId w:val="26"/>
  </w:num>
  <w:num w:numId="16" w16cid:durableId="838470145">
    <w:abstractNumId w:val="7"/>
  </w:num>
  <w:num w:numId="17" w16cid:durableId="1432705576">
    <w:abstractNumId w:val="16"/>
  </w:num>
  <w:num w:numId="18" w16cid:durableId="820540645">
    <w:abstractNumId w:val="2"/>
  </w:num>
  <w:num w:numId="19" w16cid:durableId="1030688129">
    <w:abstractNumId w:val="24"/>
  </w:num>
  <w:num w:numId="20" w16cid:durableId="1342317959">
    <w:abstractNumId w:val="4"/>
  </w:num>
  <w:num w:numId="21" w16cid:durableId="229116092">
    <w:abstractNumId w:val="30"/>
  </w:num>
  <w:num w:numId="22" w16cid:durableId="829519370">
    <w:abstractNumId w:val="18"/>
  </w:num>
  <w:num w:numId="23" w16cid:durableId="869146911">
    <w:abstractNumId w:val="0"/>
  </w:num>
  <w:num w:numId="24" w16cid:durableId="1939826202">
    <w:abstractNumId w:val="8"/>
  </w:num>
  <w:num w:numId="25" w16cid:durableId="1354844036">
    <w:abstractNumId w:val="19"/>
  </w:num>
  <w:num w:numId="26" w16cid:durableId="9364503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6195390">
    <w:abstractNumId w:val="12"/>
  </w:num>
  <w:num w:numId="28" w16cid:durableId="473064781">
    <w:abstractNumId w:val="13"/>
  </w:num>
  <w:num w:numId="29" w16cid:durableId="1812014087">
    <w:abstractNumId w:val="9"/>
  </w:num>
  <w:num w:numId="30" w16cid:durableId="101995235">
    <w:abstractNumId w:val="15"/>
  </w:num>
  <w:num w:numId="31" w16cid:durableId="1575798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7"/>
    <w:rsid w:val="00001CCF"/>
    <w:rsid w:val="00005052"/>
    <w:rsid w:val="00042041"/>
    <w:rsid w:val="00044A76"/>
    <w:rsid w:val="000476E2"/>
    <w:rsid w:val="00063F71"/>
    <w:rsid w:val="00083C03"/>
    <w:rsid w:val="00095339"/>
    <w:rsid w:val="000A0217"/>
    <w:rsid w:val="000A7571"/>
    <w:rsid w:val="000B02D5"/>
    <w:rsid w:val="000D2D21"/>
    <w:rsid w:val="000E33F3"/>
    <w:rsid w:val="000F1067"/>
    <w:rsid w:val="000F7921"/>
    <w:rsid w:val="000F7EC3"/>
    <w:rsid w:val="00112E30"/>
    <w:rsid w:val="00121219"/>
    <w:rsid w:val="00134035"/>
    <w:rsid w:val="00142C0C"/>
    <w:rsid w:val="00170922"/>
    <w:rsid w:val="00170A71"/>
    <w:rsid w:val="00173A7C"/>
    <w:rsid w:val="00183BD5"/>
    <w:rsid w:val="00185F05"/>
    <w:rsid w:val="00186DBE"/>
    <w:rsid w:val="001A685F"/>
    <w:rsid w:val="001B66C9"/>
    <w:rsid w:val="001C1C20"/>
    <w:rsid w:val="001C400C"/>
    <w:rsid w:val="001D0F6E"/>
    <w:rsid w:val="001E16AB"/>
    <w:rsid w:val="001E57C6"/>
    <w:rsid w:val="002175A3"/>
    <w:rsid w:val="002262E6"/>
    <w:rsid w:val="00264300"/>
    <w:rsid w:val="00264E9E"/>
    <w:rsid w:val="00275A40"/>
    <w:rsid w:val="002916A7"/>
    <w:rsid w:val="002C40AD"/>
    <w:rsid w:val="002D4C17"/>
    <w:rsid w:val="002F793E"/>
    <w:rsid w:val="00323F53"/>
    <w:rsid w:val="003319E1"/>
    <w:rsid w:val="003444DF"/>
    <w:rsid w:val="003452A3"/>
    <w:rsid w:val="00350145"/>
    <w:rsid w:val="00350F5A"/>
    <w:rsid w:val="00391733"/>
    <w:rsid w:val="003A2C4C"/>
    <w:rsid w:val="003B2219"/>
    <w:rsid w:val="003B46F5"/>
    <w:rsid w:val="003C2BCC"/>
    <w:rsid w:val="003C78BF"/>
    <w:rsid w:val="003D4AA2"/>
    <w:rsid w:val="003E14CE"/>
    <w:rsid w:val="003E3BBE"/>
    <w:rsid w:val="003E720B"/>
    <w:rsid w:val="003F3653"/>
    <w:rsid w:val="00444654"/>
    <w:rsid w:val="00446FC0"/>
    <w:rsid w:val="004561E0"/>
    <w:rsid w:val="0046122B"/>
    <w:rsid w:val="00463254"/>
    <w:rsid w:val="004662A5"/>
    <w:rsid w:val="004A2A3B"/>
    <w:rsid w:val="004A6484"/>
    <w:rsid w:val="004C171F"/>
    <w:rsid w:val="004C5681"/>
    <w:rsid w:val="004C5B6A"/>
    <w:rsid w:val="004C64E6"/>
    <w:rsid w:val="004D42DC"/>
    <w:rsid w:val="004F535F"/>
    <w:rsid w:val="004F6D72"/>
    <w:rsid w:val="00501F37"/>
    <w:rsid w:val="00515681"/>
    <w:rsid w:val="00527DF3"/>
    <w:rsid w:val="00530B76"/>
    <w:rsid w:val="00541688"/>
    <w:rsid w:val="00551D7E"/>
    <w:rsid w:val="005564D2"/>
    <w:rsid w:val="00576BC5"/>
    <w:rsid w:val="00580E3C"/>
    <w:rsid w:val="00583FF4"/>
    <w:rsid w:val="005A2325"/>
    <w:rsid w:val="005B2C81"/>
    <w:rsid w:val="005B4539"/>
    <w:rsid w:val="005C6F08"/>
    <w:rsid w:val="005E47F4"/>
    <w:rsid w:val="006145BA"/>
    <w:rsid w:val="00617E51"/>
    <w:rsid w:val="0062423C"/>
    <w:rsid w:val="00633B31"/>
    <w:rsid w:val="00637D38"/>
    <w:rsid w:val="006536DE"/>
    <w:rsid w:val="0065694E"/>
    <w:rsid w:val="0066133D"/>
    <w:rsid w:val="00662B48"/>
    <w:rsid w:val="006635EE"/>
    <w:rsid w:val="00674A4B"/>
    <w:rsid w:val="00696FAA"/>
    <w:rsid w:val="006A673C"/>
    <w:rsid w:val="006B6411"/>
    <w:rsid w:val="006C5763"/>
    <w:rsid w:val="006E122C"/>
    <w:rsid w:val="006F4D73"/>
    <w:rsid w:val="006F5713"/>
    <w:rsid w:val="006F78CE"/>
    <w:rsid w:val="007110B0"/>
    <w:rsid w:val="00714AEF"/>
    <w:rsid w:val="007310A0"/>
    <w:rsid w:val="00734CA8"/>
    <w:rsid w:val="007637FA"/>
    <w:rsid w:val="00783AD0"/>
    <w:rsid w:val="00786503"/>
    <w:rsid w:val="00794094"/>
    <w:rsid w:val="007A4145"/>
    <w:rsid w:val="007D1628"/>
    <w:rsid w:val="007D45CC"/>
    <w:rsid w:val="007E3F8A"/>
    <w:rsid w:val="007E7F38"/>
    <w:rsid w:val="007F4A8F"/>
    <w:rsid w:val="008014BD"/>
    <w:rsid w:val="0080439B"/>
    <w:rsid w:val="00805C10"/>
    <w:rsid w:val="008111DB"/>
    <w:rsid w:val="0081549E"/>
    <w:rsid w:val="00835FAB"/>
    <w:rsid w:val="008450E6"/>
    <w:rsid w:val="0084611C"/>
    <w:rsid w:val="00851B97"/>
    <w:rsid w:val="00870CB9"/>
    <w:rsid w:val="008807A9"/>
    <w:rsid w:val="008A0BB1"/>
    <w:rsid w:val="008A2312"/>
    <w:rsid w:val="008A3710"/>
    <w:rsid w:val="008B4196"/>
    <w:rsid w:val="008B5F93"/>
    <w:rsid w:val="008C3A10"/>
    <w:rsid w:val="008D4BD9"/>
    <w:rsid w:val="008D7037"/>
    <w:rsid w:val="008E2002"/>
    <w:rsid w:val="008F69A2"/>
    <w:rsid w:val="00904331"/>
    <w:rsid w:val="009159EE"/>
    <w:rsid w:val="00915FDD"/>
    <w:rsid w:val="00920283"/>
    <w:rsid w:val="009238E9"/>
    <w:rsid w:val="00925407"/>
    <w:rsid w:val="0092573E"/>
    <w:rsid w:val="00941B7D"/>
    <w:rsid w:val="0094482C"/>
    <w:rsid w:val="00951B44"/>
    <w:rsid w:val="00972291"/>
    <w:rsid w:val="0097603A"/>
    <w:rsid w:val="009A52F7"/>
    <w:rsid w:val="009B0153"/>
    <w:rsid w:val="009B0E07"/>
    <w:rsid w:val="009E7274"/>
    <w:rsid w:val="009F6DA1"/>
    <w:rsid w:val="00A03E4B"/>
    <w:rsid w:val="00A10F91"/>
    <w:rsid w:val="00A128E8"/>
    <w:rsid w:val="00A14B24"/>
    <w:rsid w:val="00A2429F"/>
    <w:rsid w:val="00A2540A"/>
    <w:rsid w:val="00A2645C"/>
    <w:rsid w:val="00A373FE"/>
    <w:rsid w:val="00A378E4"/>
    <w:rsid w:val="00A438B4"/>
    <w:rsid w:val="00A43D99"/>
    <w:rsid w:val="00A470CE"/>
    <w:rsid w:val="00A61AF6"/>
    <w:rsid w:val="00A66C29"/>
    <w:rsid w:val="00A708EC"/>
    <w:rsid w:val="00A73986"/>
    <w:rsid w:val="00A9205D"/>
    <w:rsid w:val="00A97EDA"/>
    <w:rsid w:val="00AA2021"/>
    <w:rsid w:val="00AB6799"/>
    <w:rsid w:val="00AC022D"/>
    <w:rsid w:val="00AC2954"/>
    <w:rsid w:val="00AD6C84"/>
    <w:rsid w:val="00AE3B42"/>
    <w:rsid w:val="00AF3770"/>
    <w:rsid w:val="00AF407F"/>
    <w:rsid w:val="00AF6267"/>
    <w:rsid w:val="00B117F0"/>
    <w:rsid w:val="00B11DBD"/>
    <w:rsid w:val="00B24523"/>
    <w:rsid w:val="00B41C4A"/>
    <w:rsid w:val="00B43B96"/>
    <w:rsid w:val="00B543AD"/>
    <w:rsid w:val="00B55F53"/>
    <w:rsid w:val="00B57B33"/>
    <w:rsid w:val="00B85434"/>
    <w:rsid w:val="00BB1531"/>
    <w:rsid w:val="00BD7C8E"/>
    <w:rsid w:val="00BE1866"/>
    <w:rsid w:val="00BE2409"/>
    <w:rsid w:val="00BF4116"/>
    <w:rsid w:val="00BF5ED1"/>
    <w:rsid w:val="00BF6DA6"/>
    <w:rsid w:val="00C30F39"/>
    <w:rsid w:val="00C50825"/>
    <w:rsid w:val="00C566EC"/>
    <w:rsid w:val="00C62AF7"/>
    <w:rsid w:val="00C6606E"/>
    <w:rsid w:val="00C702E8"/>
    <w:rsid w:val="00C7305C"/>
    <w:rsid w:val="00C75066"/>
    <w:rsid w:val="00C75282"/>
    <w:rsid w:val="00CA55BB"/>
    <w:rsid w:val="00CC285A"/>
    <w:rsid w:val="00CE66C5"/>
    <w:rsid w:val="00CF0B61"/>
    <w:rsid w:val="00CF0CD7"/>
    <w:rsid w:val="00CF7A3F"/>
    <w:rsid w:val="00CF7AA1"/>
    <w:rsid w:val="00D07E80"/>
    <w:rsid w:val="00D2333B"/>
    <w:rsid w:val="00D52CA9"/>
    <w:rsid w:val="00D65956"/>
    <w:rsid w:val="00D82E66"/>
    <w:rsid w:val="00D95BE8"/>
    <w:rsid w:val="00DA2757"/>
    <w:rsid w:val="00DA586F"/>
    <w:rsid w:val="00DC3E35"/>
    <w:rsid w:val="00DD0E3C"/>
    <w:rsid w:val="00DD3DCD"/>
    <w:rsid w:val="00DD7EFC"/>
    <w:rsid w:val="00DE608A"/>
    <w:rsid w:val="00DF22AE"/>
    <w:rsid w:val="00DF7698"/>
    <w:rsid w:val="00E10808"/>
    <w:rsid w:val="00E11826"/>
    <w:rsid w:val="00E1565A"/>
    <w:rsid w:val="00E3276D"/>
    <w:rsid w:val="00E37E8F"/>
    <w:rsid w:val="00E53BFF"/>
    <w:rsid w:val="00E641A3"/>
    <w:rsid w:val="00E64577"/>
    <w:rsid w:val="00E7432E"/>
    <w:rsid w:val="00E826C4"/>
    <w:rsid w:val="00EB36CF"/>
    <w:rsid w:val="00EC350C"/>
    <w:rsid w:val="00EF115F"/>
    <w:rsid w:val="00EF14AE"/>
    <w:rsid w:val="00F0559A"/>
    <w:rsid w:val="00F24BCF"/>
    <w:rsid w:val="00F400F8"/>
    <w:rsid w:val="00F40E11"/>
    <w:rsid w:val="00F5513A"/>
    <w:rsid w:val="00F57963"/>
    <w:rsid w:val="00F616C6"/>
    <w:rsid w:val="00F75CC6"/>
    <w:rsid w:val="00F80900"/>
    <w:rsid w:val="00F821FC"/>
    <w:rsid w:val="00F83014"/>
    <w:rsid w:val="00F85B50"/>
    <w:rsid w:val="00F862C3"/>
    <w:rsid w:val="00F86DEA"/>
    <w:rsid w:val="00FA4202"/>
    <w:rsid w:val="00FC15A8"/>
    <w:rsid w:val="00FC4B42"/>
    <w:rsid w:val="00FD6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39979"/>
  <w15:docId w15:val="{E6C29711-1E4A-4DCE-A812-4BFD8C1D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523"/>
  </w:style>
  <w:style w:type="paragraph" w:styleId="Heading3">
    <w:name w:val="heading 3"/>
    <w:basedOn w:val="Normal"/>
    <w:link w:val="Heading3Char"/>
    <w:uiPriority w:val="9"/>
    <w:semiHidden/>
    <w:unhideWhenUsed/>
    <w:qFormat/>
    <w:rsid w:val="004C171F"/>
    <w:pPr>
      <w:spacing w:before="100" w:beforeAutospacing="1" w:after="100" w:afterAutospacing="1" w:line="240" w:lineRule="auto"/>
      <w:outlineLvl w:val="2"/>
    </w:pPr>
    <w:rPr>
      <w:rFonts w:ascii="Calibri" w:hAnsi="Calibri" w:cs="Calibri"/>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character" w:styleId="PlaceholderText">
    <w:name w:val="Placeholder Text"/>
    <w:basedOn w:val="DefaultParagraphFont"/>
    <w:uiPriority w:val="99"/>
    <w:semiHidden/>
    <w:rsid w:val="00C702E8"/>
    <w:rPr>
      <w:color w:val="808080"/>
    </w:rPr>
  </w:style>
  <w:style w:type="paragraph" w:styleId="NoSpacing">
    <w:name w:val="No Spacing"/>
    <w:uiPriority w:val="1"/>
    <w:qFormat/>
    <w:rsid w:val="0046122B"/>
    <w:pPr>
      <w:widowControl w:val="0"/>
      <w:spacing w:after="0" w:line="240" w:lineRule="auto"/>
    </w:pPr>
    <w:rPr>
      <w:rFonts w:ascii="Times New Roman" w:eastAsia="Calibri" w:hAnsi="Times New Roman" w:cs="Times New Roman"/>
      <w:sz w:val="24"/>
      <w:szCs w:val="24"/>
      <w:lang w:eastAsia="lv-LV"/>
    </w:rPr>
  </w:style>
  <w:style w:type="paragraph" w:styleId="ListParagraph">
    <w:name w:val="List Paragraph"/>
    <w:basedOn w:val="Normal"/>
    <w:uiPriority w:val="34"/>
    <w:qFormat/>
    <w:rsid w:val="00AC2954"/>
    <w:pPr>
      <w:spacing w:after="0" w:line="240" w:lineRule="auto"/>
      <w:ind w:left="720"/>
    </w:pPr>
  </w:style>
  <w:style w:type="paragraph" w:styleId="CommentText">
    <w:name w:val="annotation text"/>
    <w:basedOn w:val="Normal"/>
    <w:link w:val="CommentTextChar"/>
    <w:uiPriority w:val="99"/>
    <w:unhideWhenUsed/>
    <w:rsid w:val="00AC2954"/>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C2954"/>
    <w:rPr>
      <w:rFonts w:ascii="Times New Roman" w:eastAsia="Times New Roman" w:hAnsi="Times New Roman" w:cs="Times New Roman"/>
      <w:sz w:val="20"/>
      <w:szCs w:val="20"/>
    </w:rPr>
  </w:style>
  <w:style w:type="paragraph" w:customStyle="1" w:styleId="tv213">
    <w:name w:val="tv213"/>
    <w:basedOn w:val="Normal"/>
    <w:rsid w:val="00AC29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AC2954"/>
    <w:pPr>
      <w:spacing w:after="0" w:line="240" w:lineRule="auto"/>
    </w:pPr>
    <w:rPr>
      <w:rFonts w:ascii="Calibri" w:hAnsi="Calibri" w:cs="Calibri"/>
      <w:lang w:eastAsia="lv-LV"/>
    </w:rPr>
  </w:style>
  <w:style w:type="character" w:styleId="CommentReference">
    <w:name w:val="annotation reference"/>
    <w:basedOn w:val="DefaultParagraphFont"/>
    <w:uiPriority w:val="99"/>
    <w:semiHidden/>
    <w:unhideWhenUsed/>
    <w:rsid w:val="002C40AD"/>
    <w:rPr>
      <w:sz w:val="16"/>
      <w:szCs w:val="16"/>
    </w:rPr>
  </w:style>
  <w:style w:type="paragraph" w:styleId="CommentSubject">
    <w:name w:val="annotation subject"/>
    <w:basedOn w:val="CommentText"/>
    <w:next w:val="CommentText"/>
    <w:link w:val="CommentSubjectChar"/>
    <w:uiPriority w:val="99"/>
    <w:semiHidden/>
    <w:unhideWhenUsed/>
    <w:rsid w:val="002C40AD"/>
    <w:pPr>
      <w:spacing w:after="20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C40AD"/>
    <w:rPr>
      <w:rFonts w:ascii="Times New Roman" w:eastAsia="Times New Roman" w:hAnsi="Times New Roman" w:cs="Times New Roman"/>
      <w:b/>
      <w:bCs/>
      <w:sz w:val="20"/>
      <w:szCs w:val="20"/>
    </w:rPr>
  </w:style>
  <w:style w:type="paragraph" w:styleId="Revision">
    <w:name w:val="Revision"/>
    <w:hidden/>
    <w:uiPriority w:val="99"/>
    <w:semiHidden/>
    <w:rsid w:val="004561E0"/>
    <w:pPr>
      <w:spacing w:after="0" w:line="240" w:lineRule="auto"/>
    </w:pPr>
  </w:style>
  <w:style w:type="character" w:styleId="UnresolvedMention">
    <w:name w:val="Unresolved Mention"/>
    <w:basedOn w:val="DefaultParagraphFont"/>
    <w:uiPriority w:val="99"/>
    <w:semiHidden/>
    <w:unhideWhenUsed/>
    <w:rsid w:val="004C171F"/>
    <w:rPr>
      <w:color w:val="605E5C"/>
      <w:shd w:val="clear" w:color="auto" w:fill="E1DFDD"/>
    </w:rPr>
  </w:style>
  <w:style w:type="character" w:customStyle="1" w:styleId="w100">
    <w:name w:val="w100"/>
    <w:basedOn w:val="DefaultParagraphFont"/>
    <w:rsid w:val="004C171F"/>
  </w:style>
  <w:style w:type="character" w:customStyle="1" w:styleId="Heading3Char">
    <w:name w:val="Heading 3 Char"/>
    <w:basedOn w:val="DefaultParagraphFont"/>
    <w:link w:val="Heading3"/>
    <w:uiPriority w:val="9"/>
    <w:semiHidden/>
    <w:rsid w:val="004C171F"/>
    <w:rPr>
      <w:rFonts w:ascii="Calibri" w:hAnsi="Calibri" w:cs="Calibri"/>
      <w:b/>
      <w:bCs/>
      <w:sz w:val="27"/>
      <w:szCs w:val="27"/>
      <w:lang w:eastAsia="lv-LV"/>
    </w:rPr>
  </w:style>
  <w:style w:type="paragraph" w:customStyle="1" w:styleId="profileparagraph">
    <w:name w:val="profile__paragraph"/>
    <w:basedOn w:val="Normal"/>
    <w:rsid w:val="004C171F"/>
    <w:pPr>
      <w:spacing w:before="100" w:beforeAutospacing="1" w:after="100" w:afterAutospacing="1" w:line="240" w:lineRule="auto"/>
    </w:pPr>
    <w:rPr>
      <w:rFonts w:ascii="Calibri" w:hAnsi="Calibri" w:cs="Calibri"/>
      <w:lang w:eastAsia="lv-LV"/>
    </w:rPr>
  </w:style>
  <w:style w:type="character" w:styleId="Strong">
    <w:name w:val="Strong"/>
    <w:basedOn w:val="DefaultParagraphFont"/>
    <w:uiPriority w:val="22"/>
    <w:qFormat/>
    <w:rsid w:val="00CC285A"/>
    <w:rPr>
      <w:b/>
      <w:bCs/>
    </w:rPr>
  </w:style>
  <w:style w:type="paragraph" w:styleId="FootnoteText">
    <w:name w:val="footnote text"/>
    <w:basedOn w:val="Normal"/>
    <w:link w:val="FootnoteTextChar"/>
    <w:uiPriority w:val="99"/>
    <w:semiHidden/>
    <w:unhideWhenUsed/>
    <w:rsid w:val="008C3A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A10"/>
    <w:rPr>
      <w:sz w:val="20"/>
      <w:szCs w:val="20"/>
    </w:rPr>
  </w:style>
  <w:style w:type="character" w:styleId="FootnoteReference">
    <w:name w:val="footnote reference"/>
    <w:basedOn w:val="DefaultParagraphFont"/>
    <w:uiPriority w:val="99"/>
    <w:semiHidden/>
    <w:unhideWhenUsed/>
    <w:rsid w:val="008C3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61360">
      <w:bodyDiv w:val="1"/>
      <w:marLeft w:val="0"/>
      <w:marRight w:val="0"/>
      <w:marTop w:val="0"/>
      <w:marBottom w:val="0"/>
      <w:divBdr>
        <w:top w:val="none" w:sz="0" w:space="0" w:color="auto"/>
        <w:left w:val="none" w:sz="0" w:space="0" w:color="auto"/>
        <w:bottom w:val="none" w:sz="0" w:space="0" w:color="auto"/>
        <w:right w:val="none" w:sz="0" w:space="0" w:color="auto"/>
      </w:divBdr>
    </w:div>
    <w:div w:id="219950265">
      <w:bodyDiv w:val="1"/>
      <w:marLeft w:val="0"/>
      <w:marRight w:val="0"/>
      <w:marTop w:val="0"/>
      <w:marBottom w:val="0"/>
      <w:divBdr>
        <w:top w:val="none" w:sz="0" w:space="0" w:color="auto"/>
        <w:left w:val="none" w:sz="0" w:space="0" w:color="auto"/>
        <w:bottom w:val="none" w:sz="0" w:space="0" w:color="auto"/>
        <w:right w:val="none" w:sz="0" w:space="0" w:color="auto"/>
      </w:divBdr>
    </w:div>
    <w:div w:id="359863727">
      <w:bodyDiv w:val="1"/>
      <w:marLeft w:val="0"/>
      <w:marRight w:val="0"/>
      <w:marTop w:val="0"/>
      <w:marBottom w:val="0"/>
      <w:divBdr>
        <w:top w:val="none" w:sz="0" w:space="0" w:color="auto"/>
        <w:left w:val="none" w:sz="0" w:space="0" w:color="auto"/>
        <w:bottom w:val="none" w:sz="0" w:space="0" w:color="auto"/>
        <w:right w:val="none" w:sz="0" w:space="0" w:color="auto"/>
      </w:divBdr>
      <w:divsChild>
        <w:div w:id="475758538">
          <w:marLeft w:val="446"/>
          <w:marRight w:val="0"/>
          <w:marTop w:val="0"/>
          <w:marBottom w:val="120"/>
          <w:divBdr>
            <w:top w:val="none" w:sz="0" w:space="0" w:color="auto"/>
            <w:left w:val="none" w:sz="0" w:space="0" w:color="auto"/>
            <w:bottom w:val="none" w:sz="0" w:space="0" w:color="auto"/>
            <w:right w:val="none" w:sz="0" w:space="0" w:color="auto"/>
          </w:divBdr>
        </w:div>
      </w:divsChild>
    </w:div>
    <w:div w:id="423495787">
      <w:bodyDiv w:val="1"/>
      <w:marLeft w:val="0"/>
      <w:marRight w:val="0"/>
      <w:marTop w:val="0"/>
      <w:marBottom w:val="0"/>
      <w:divBdr>
        <w:top w:val="none" w:sz="0" w:space="0" w:color="auto"/>
        <w:left w:val="none" w:sz="0" w:space="0" w:color="auto"/>
        <w:bottom w:val="none" w:sz="0" w:space="0" w:color="auto"/>
        <w:right w:val="none" w:sz="0" w:space="0" w:color="auto"/>
      </w:divBdr>
    </w:div>
    <w:div w:id="433330593">
      <w:bodyDiv w:val="1"/>
      <w:marLeft w:val="0"/>
      <w:marRight w:val="0"/>
      <w:marTop w:val="0"/>
      <w:marBottom w:val="0"/>
      <w:divBdr>
        <w:top w:val="none" w:sz="0" w:space="0" w:color="auto"/>
        <w:left w:val="none" w:sz="0" w:space="0" w:color="auto"/>
        <w:bottom w:val="none" w:sz="0" w:space="0" w:color="auto"/>
        <w:right w:val="none" w:sz="0" w:space="0" w:color="auto"/>
      </w:divBdr>
      <w:divsChild>
        <w:div w:id="2118481018">
          <w:marLeft w:val="0"/>
          <w:marRight w:val="0"/>
          <w:marTop w:val="0"/>
          <w:marBottom w:val="0"/>
          <w:divBdr>
            <w:top w:val="none" w:sz="0" w:space="0" w:color="auto"/>
            <w:left w:val="none" w:sz="0" w:space="0" w:color="auto"/>
            <w:bottom w:val="none" w:sz="0" w:space="0" w:color="auto"/>
            <w:right w:val="none" w:sz="0" w:space="0" w:color="auto"/>
          </w:divBdr>
        </w:div>
      </w:divsChild>
    </w:div>
    <w:div w:id="505287065">
      <w:bodyDiv w:val="1"/>
      <w:marLeft w:val="0"/>
      <w:marRight w:val="0"/>
      <w:marTop w:val="0"/>
      <w:marBottom w:val="0"/>
      <w:divBdr>
        <w:top w:val="none" w:sz="0" w:space="0" w:color="auto"/>
        <w:left w:val="none" w:sz="0" w:space="0" w:color="auto"/>
        <w:bottom w:val="none" w:sz="0" w:space="0" w:color="auto"/>
        <w:right w:val="none" w:sz="0" w:space="0" w:color="auto"/>
      </w:divBdr>
    </w:div>
    <w:div w:id="546068504">
      <w:bodyDiv w:val="1"/>
      <w:marLeft w:val="0"/>
      <w:marRight w:val="0"/>
      <w:marTop w:val="0"/>
      <w:marBottom w:val="0"/>
      <w:divBdr>
        <w:top w:val="none" w:sz="0" w:space="0" w:color="auto"/>
        <w:left w:val="none" w:sz="0" w:space="0" w:color="auto"/>
        <w:bottom w:val="none" w:sz="0" w:space="0" w:color="auto"/>
        <w:right w:val="none" w:sz="0" w:space="0" w:color="auto"/>
      </w:divBdr>
    </w:div>
    <w:div w:id="555045574">
      <w:bodyDiv w:val="1"/>
      <w:marLeft w:val="0"/>
      <w:marRight w:val="0"/>
      <w:marTop w:val="0"/>
      <w:marBottom w:val="0"/>
      <w:divBdr>
        <w:top w:val="none" w:sz="0" w:space="0" w:color="auto"/>
        <w:left w:val="none" w:sz="0" w:space="0" w:color="auto"/>
        <w:bottom w:val="none" w:sz="0" w:space="0" w:color="auto"/>
        <w:right w:val="none" w:sz="0" w:space="0" w:color="auto"/>
      </w:divBdr>
    </w:div>
    <w:div w:id="658965141">
      <w:bodyDiv w:val="1"/>
      <w:marLeft w:val="0"/>
      <w:marRight w:val="0"/>
      <w:marTop w:val="0"/>
      <w:marBottom w:val="0"/>
      <w:divBdr>
        <w:top w:val="none" w:sz="0" w:space="0" w:color="auto"/>
        <w:left w:val="none" w:sz="0" w:space="0" w:color="auto"/>
        <w:bottom w:val="none" w:sz="0" w:space="0" w:color="auto"/>
        <w:right w:val="none" w:sz="0" w:space="0" w:color="auto"/>
      </w:divBdr>
      <w:divsChild>
        <w:div w:id="681247682">
          <w:marLeft w:val="0"/>
          <w:marRight w:val="0"/>
          <w:marTop w:val="0"/>
          <w:marBottom w:val="0"/>
          <w:divBdr>
            <w:top w:val="none" w:sz="0" w:space="0" w:color="auto"/>
            <w:left w:val="none" w:sz="0" w:space="0" w:color="auto"/>
            <w:bottom w:val="none" w:sz="0" w:space="0" w:color="auto"/>
            <w:right w:val="none" w:sz="0" w:space="0" w:color="auto"/>
          </w:divBdr>
        </w:div>
      </w:divsChild>
    </w:div>
    <w:div w:id="739014170">
      <w:bodyDiv w:val="1"/>
      <w:marLeft w:val="0"/>
      <w:marRight w:val="0"/>
      <w:marTop w:val="0"/>
      <w:marBottom w:val="0"/>
      <w:divBdr>
        <w:top w:val="none" w:sz="0" w:space="0" w:color="auto"/>
        <w:left w:val="none" w:sz="0" w:space="0" w:color="auto"/>
        <w:bottom w:val="none" w:sz="0" w:space="0" w:color="auto"/>
        <w:right w:val="none" w:sz="0" w:space="0" w:color="auto"/>
      </w:divBdr>
    </w:div>
    <w:div w:id="776632363">
      <w:bodyDiv w:val="1"/>
      <w:marLeft w:val="0"/>
      <w:marRight w:val="0"/>
      <w:marTop w:val="0"/>
      <w:marBottom w:val="0"/>
      <w:divBdr>
        <w:top w:val="none" w:sz="0" w:space="0" w:color="auto"/>
        <w:left w:val="none" w:sz="0" w:space="0" w:color="auto"/>
        <w:bottom w:val="none" w:sz="0" w:space="0" w:color="auto"/>
        <w:right w:val="none" w:sz="0" w:space="0" w:color="auto"/>
      </w:divBdr>
      <w:divsChild>
        <w:div w:id="92481316">
          <w:marLeft w:val="446"/>
          <w:marRight w:val="0"/>
          <w:marTop w:val="0"/>
          <w:marBottom w:val="120"/>
          <w:divBdr>
            <w:top w:val="none" w:sz="0" w:space="0" w:color="auto"/>
            <w:left w:val="none" w:sz="0" w:space="0" w:color="auto"/>
            <w:bottom w:val="none" w:sz="0" w:space="0" w:color="auto"/>
            <w:right w:val="none" w:sz="0" w:space="0" w:color="auto"/>
          </w:divBdr>
        </w:div>
      </w:divsChild>
    </w:div>
    <w:div w:id="1034111965">
      <w:bodyDiv w:val="1"/>
      <w:marLeft w:val="0"/>
      <w:marRight w:val="0"/>
      <w:marTop w:val="0"/>
      <w:marBottom w:val="0"/>
      <w:divBdr>
        <w:top w:val="none" w:sz="0" w:space="0" w:color="auto"/>
        <w:left w:val="none" w:sz="0" w:space="0" w:color="auto"/>
        <w:bottom w:val="none" w:sz="0" w:space="0" w:color="auto"/>
        <w:right w:val="none" w:sz="0" w:space="0" w:color="auto"/>
      </w:divBdr>
    </w:div>
    <w:div w:id="1044478161">
      <w:bodyDiv w:val="1"/>
      <w:marLeft w:val="0"/>
      <w:marRight w:val="0"/>
      <w:marTop w:val="0"/>
      <w:marBottom w:val="0"/>
      <w:divBdr>
        <w:top w:val="none" w:sz="0" w:space="0" w:color="auto"/>
        <w:left w:val="none" w:sz="0" w:space="0" w:color="auto"/>
        <w:bottom w:val="none" w:sz="0" w:space="0" w:color="auto"/>
        <w:right w:val="none" w:sz="0" w:space="0" w:color="auto"/>
      </w:divBdr>
    </w:div>
    <w:div w:id="1218932916">
      <w:bodyDiv w:val="1"/>
      <w:marLeft w:val="0"/>
      <w:marRight w:val="0"/>
      <w:marTop w:val="0"/>
      <w:marBottom w:val="0"/>
      <w:divBdr>
        <w:top w:val="none" w:sz="0" w:space="0" w:color="auto"/>
        <w:left w:val="none" w:sz="0" w:space="0" w:color="auto"/>
        <w:bottom w:val="none" w:sz="0" w:space="0" w:color="auto"/>
        <w:right w:val="none" w:sz="0" w:space="0" w:color="auto"/>
      </w:divBdr>
    </w:div>
    <w:div w:id="1234121964">
      <w:bodyDiv w:val="1"/>
      <w:marLeft w:val="0"/>
      <w:marRight w:val="0"/>
      <w:marTop w:val="0"/>
      <w:marBottom w:val="0"/>
      <w:divBdr>
        <w:top w:val="none" w:sz="0" w:space="0" w:color="auto"/>
        <w:left w:val="none" w:sz="0" w:space="0" w:color="auto"/>
        <w:bottom w:val="none" w:sz="0" w:space="0" w:color="auto"/>
        <w:right w:val="none" w:sz="0" w:space="0" w:color="auto"/>
      </w:divBdr>
    </w:div>
    <w:div w:id="1441758220">
      <w:bodyDiv w:val="1"/>
      <w:marLeft w:val="0"/>
      <w:marRight w:val="0"/>
      <w:marTop w:val="0"/>
      <w:marBottom w:val="0"/>
      <w:divBdr>
        <w:top w:val="none" w:sz="0" w:space="0" w:color="auto"/>
        <w:left w:val="none" w:sz="0" w:space="0" w:color="auto"/>
        <w:bottom w:val="none" w:sz="0" w:space="0" w:color="auto"/>
        <w:right w:val="none" w:sz="0" w:space="0" w:color="auto"/>
      </w:divBdr>
    </w:div>
    <w:div w:id="1490516819">
      <w:bodyDiv w:val="1"/>
      <w:marLeft w:val="0"/>
      <w:marRight w:val="0"/>
      <w:marTop w:val="0"/>
      <w:marBottom w:val="0"/>
      <w:divBdr>
        <w:top w:val="none" w:sz="0" w:space="0" w:color="auto"/>
        <w:left w:val="none" w:sz="0" w:space="0" w:color="auto"/>
        <w:bottom w:val="none" w:sz="0" w:space="0" w:color="auto"/>
        <w:right w:val="none" w:sz="0" w:space="0" w:color="auto"/>
      </w:divBdr>
    </w:div>
    <w:div w:id="1506288598">
      <w:bodyDiv w:val="1"/>
      <w:marLeft w:val="0"/>
      <w:marRight w:val="0"/>
      <w:marTop w:val="0"/>
      <w:marBottom w:val="0"/>
      <w:divBdr>
        <w:top w:val="none" w:sz="0" w:space="0" w:color="auto"/>
        <w:left w:val="none" w:sz="0" w:space="0" w:color="auto"/>
        <w:bottom w:val="none" w:sz="0" w:space="0" w:color="auto"/>
        <w:right w:val="none" w:sz="0" w:space="0" w:color="auto"/>
      </w:divBdr>
    </w:div>
    <w:div w:id="1558080048">
      <w:bodyDiv w:val="1"/>
      <w:marLeft w:val="0"/>
      <w:marRight w:val="0"/>
      <w:marTop w:val="0"/>
      <w:marBottom w:val="0"/>
      <w:divBdr>
        <w:top w:val="none" w:sz="0" w:space="0" w:color="auto"/>
        <w:left w:val="none" w:sz="0" w:space="0" w:color="auto"/>
        <w:bottom w:val="none" w:sz="0" w:space="0" w:color="auto"/>
        <w:right w:val="none" w:sz="0" w:space="0" w:color="auto"/>
      </w:divBdr>
    </w:div>
    <w:div w:id="1925408000">
      <w:bodyDiv w:val="1"/>
      <w:marLeft w:val="0"/>
      <w:marRight w:val="0"/>
      <w:marTop w:val="0"/>
      <w:marBottom w:val="0"/>
      <w:divBdr>
        <w:top w:val="none" w:sz="0" w:space="0" w:color="auto"/>
        <w:left w:val="none" w:sz="0" w:space="0" w:color="auto"/>
        <w:bottom w:val="none" w:sz="0" w:space="0" w:color="auto"/>
        <w:right w:val="none" w:sz="0" w:space="0" w:color="auto"/>
      </w:divBdr>
      <w:divsChild>
        <w:div w:id="1064718414">
          <w:marLeft w:val="0"/>
          <w:marRight w:val="0"/>
          <w:marTop w:val="0"/>
          <w:marBottom w:val="0"/>
          <w:divBdr>
            <w:top w:val="none" w:sz="0" w:space="0" w:color="auto"/>
            <w:left w:val="none" w:sz="0" w:space="0" w:color="auto"/>
            <w:bottom w:val="none" w:sz="0" w:space="0" w:color="auto"/>
            <w:right w:val="none" w:sz="0" w:space="0" w:color="auto"/>
          </w:divBdr>
        </w:div>
      </w:divsChild>
    </w:div>
    <w:div w:id="2046565913">
      <w:bodyDiv w:val="1"/>
      <w:marLeft w:val="0"/>
      <w:marRight w:val="0"/>
      <w:marTop w:val="0"/>
      <w:marBottom w:val="0"/>
      <w:divBdr>
        <w:top w:val="none" w:sz="0" w:space="0" w:color="auto"/>
        <w:left w:val="none" w:sz="0" w:space="0" w:color="auto"/>
        <w:bottom w:val="none" w:sz="0" w:space="0" w:color="auto"/>
        <w:right w:val="none" w:sz="0" w:space="0" w:color="auto"/>
      </w:divBdr>
      <w:divsChild>
        <w:div w:id="582837445">
          <w:marLeft w:val="0"/>
          <w:marRight w:val="0"/>
          <w:marTop w:val="0"/>
          <w:marBottom w:val="0"/>
          <w:divBdr>
            <w:top w:val="none" w:sz="0" w:space="0" w:color="auto"/>
            <w:left w:val="none" w:sz="0" w:space="0" w:color="auto"/>
            <w:bottom w:val="none" w:sz="0" w:space="0" w:color="auto"/>
            <w:right w:val="none" w:sz="0" w:space="0" w:color="auto"/>
          </w:divBdr>
        </w:div>
      </w:divsChild>
    </w:div>
    <w:div w:id="2076053035">
      <w:bodyDiv w:val="1"/>
      <w:marLeft w:val="0"/>
      <w:marRight w:val="0"/>
      <w:marTop w:val="0"/>
      <w:marBottom w:val="0"/>
      <w:divBdr>
        <w:top w:val="none" w:sz="0" w:space="0" w:color="auto"/>
        <w:left w:val="none" w:sz="0" w:space="0" w:color="auto"/>
        <w:bottom w:val="none" w:sz="0" w:space="0" w:color="auto"/>
        <w:right w:val="none" w:sz="0" w:space="0" w:color="auto"/>
      </w:divBdr>
      <w:divsChild>
        <w:div w:id="2080977263">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Albova@fm.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ja.Zitcere@f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fm.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bx.or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dir/2009/103/oj/?locale=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FEC1A292F419C82C8398F35ED4E1E"/>
        <w:category>
          <w:name w:val="General"/>
          <w:gallery w:val="placeholder"/>
        </w:category>
        <w:types>
          <w:type w:val="bbPlcHdr"/>
        </w:types>
        <w:behaviors>
          <w:behavior w:val="content"/>
        </w:behaviors>
        <w:guid w:val="{10FD8A50-6F0F-4A21-A058-7D961DF20B55}"/>
      </w:docPartPr>
      <w:docPartBody>
        <w:p w:rsidR="0026764A" w:rsidRDefault="00EC0090" w:rsidP="00EC0090">
          <w:pPr>
            <w:pStyle w:val="4E0FEC1A292F419C82C8398F35ED4E1E"/>
          </w:pPr>
          <w:r w:rsidRPr="008139CB">
            <w:rPr>
              <w:rStyle w:val="PlaceholderText"/>
            </w:rPr>
            <w:t>[LTAB numurs]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Pro LT">
    <w:altName w:val="Calibri"/>
    <w:panose1 w:val="020B0604020202020204"/>
    <w:charset w:val="BA"/>
    <w:family w:val="auto"/>
    <w:pitch w:val="variable"/>
    <w:sig w:usb0="80000AAF" w:usb1="5000204A"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526"/>
    <w:rsid w:val="00014491"/>
    <w:rsid w:val="000C7B1A"/>
    <w:rsid w:val="0026764A"/>
    <w:rsid w:val="008C1526"/>
    <w:rsid w:val="00AA2E89"/>
    <w:rsid w:val="00CC023C"/>
    <w:rsid w:val="00DD5D85"/>
    <w:rsid w:val="00EC0090"/>
    <w:rsid w:val="00F93A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B1A"/>
    <w:rPr>
      <w:color w:val="808080"/>
    </w:rPr>
  </w:style>
  <w:style w:type="paragraph" w:customStyle="1" w:styleId="4E0FEC1A292F419C82C8398F35ED4E1E">
    <w:name w:val="4E0FEC1A292F419C82C8398F35ED4E1E"/>
    <w:rsid w:val="00EC00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
        <AccountId xsi:nil="true"/>
        <AccountType/>
      </UserInfo>
    </DokParakstitaji>
    <DokRegDatums xmlns="f123fc61-7915-4898-8636-52bfc24319d4">2021-04-08T13:25:56+00:00</DokRegDatums>
    <DokNumurs xmlns="f123fc61-7915-4898-8636-52bfc24319d4">07/02-16/44</DokNumurs>
    <D320F758A3D245D2A7D76018125F5A02 xmlns="80613d6c-201e-4be1-b27a-7e1bf41d8677">
      <Terms xmlns="http://schemas.microsoft.com/office/infopath/2007/PartnerControls"/>
    </D320F758A3D245D2A7D76018125F5A02>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3" ma:contentTypeDescription="Izveidot jaunu dokumentu." ma:contentTypeScope="" ma:versionID="ec84c31419514c8b301bd85aa49e0a52">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97382bbec2737b8f4280c2d2c53de7ad"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3799D9-FA3E-4AA3-8CF1-F6F121703ED1}">
  <ds:schemaRefs>
    <ds:schemaRef ds:uri="http://schemas.openxmlformats.org/officeDocument/2006/bibliography"/>
  </ds:schemaRefs>
</ds:datastoreItem>
</file>

<file path=customXml/itemProps2.xml><?xml version="1.0" encoding="utf-8"?>
<ds:datastoreItem xmlns:ds="http://schemas.openxmlformats.org/officeDocument/2006/customXml" ds:itemID="{2DFF2E7C-4C4B-44D9-AB99-D3D6EA390431}">
  <ds:schemaRefs>
    <ds:schemaRef ds:uri="http://schemas.microsoft.com/office/2006/metadata/properties"/>
    <ds:schemaRef ds:uri="http://schemas.microsoft.com/office/infopath/2007/PartnerControls"/>
    <ds:schemaRef ds:uri="80613d6c-201e-4be1-b27a-7e1bf41d8677"/>
    <ds:schemaRef ds:uri="f123fc61-7915-4898-8636-52bfc24319d4"/>
  </ds:schemaRefs>
</ds:datastoreItem>
</file>

<file path=customXml/itemProps3.xml><?xml version="1.0" encoding="utf-8"?>
<ds:datastoreItem xmlns:ds="http://schemas.openxmlformats.org/officeDocument/2006/customXml" ds:itemID="{0C1C23BA-10FF-4375-917D-F91C23FAA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1C104-9573-4A73-9C45-EB4DB7462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2376</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Inese Albova</cp:lastModifiedBy>
  <cp:revision>2</cp:revision>
  <dcterms:created xsi:type="dcterms:W3CDTF">2023-01-11T18:44:00Z</dcterms:created>
  <dcterms:modified xsi:type="dcterms:W3CDTF">2023-01-11T18:44:00Z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 veids">
    <vt:lpwstr/>
  </property>
  <property fmtid="{D5CDD505-2E9C-101B-9397-08002B2CF9AE}" pid="4" name="_docset_NoMedatataSyncRequired">
    <vt:lpwstr>False</vt:lpwstr>
  </property>
</Properties>
</file>