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26-TA-894: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2025. gada 1. jūlija noteikumos Nr. 404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(05.07.2025.)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19.05.2026. 16:45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dalībnieki, kuri pēc dalības pārtraukšanas ir ieguvuši kvalifikāciju (personu skaits), – 3602;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- 02.06.2026.)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iebilst pret projektu sagatavošanas fāzē sniegto skaidrojumu par kvalifikācijas definīciju programmas ietvaros un aicina </w:t>
            </w:r>
            <w:r w:rsidR="00000000" w:rsidRPr="00000000" w:rsidDel="00000000">
              <w:rPr>
                <w:u w:val="single"/>
                <w:rtl w:val="0"/>
              </w:rPr>
              <w:t xml:space="preserve">precizēt un papildus skaidrot, ar ko programmas ietvaros tiek saprasta "kvalifikācija", ņemot vērā reālo apmācību pieprasījumu un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sniegtajos skaidrojumos projektu sagatavošanas fāzē tika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Ņemot vērā Latvijas kvalifikāciju ietvarstruktūru, tās sasaisti ar Eiropas kvalifikāciju ietvarstruktūru un Eiropas Komisijas rādītāja definīciju, attiecīgais rādītājs aptver: · visas izglītības pakāpes (pamatizglītība, vidējā izglītība, augstākā izglītība); · visus izglītības veidus (vispārējā izglītība, profesionālā izglītība, akadēmiskā izglītība); · arī ārpus formālās izglītības sistēmas iegūto profesionālo kvalifikāciju, ko apliecina profesionālās kvalifikācijas apliecība. Programmas ietvaros rādītājs attiecināms arī uz: · profesionālās tālākizglītības programmām, · profesionālās pilnveides izglītības programmām, · profesionālās izglītības programmas daļām, moduļiem vai moduļu kopām, kas ir atvasināti no akreditētu izglītības iestāžu licencētām programmām un tiek īstenoti atbilstoši tiem pašiem kvalitātes nosacījumiem; · studiju programmas moduļiem vai kursiem, kas ir atvasināti no akreditēta studiju virziena licencētām studiju programmām un atbilst tiem pašiem kvalitātes un vērtēšanas nosacījumiem.</w:t>
            </w:r>
            <w:r w:rsidR="00000000" w:rsidRPr="00000000" w:rsidDel="00000000">
              <w:rPr>
                <w:i w:val="1"/>
                <w:rtl w:val="0"/>
              </w:rPr>
              <w:t xml:space="preserve">Gadījumā, ja mācības tika īstenotas ārvalstīs, tad rādītājā ieskaita tās programmas, kuras atbilst augstāk minētajiem nosacījumiem un papildus ir iesniegts apliecinājums, ka attiecīgās programmas rezultātā iegūtās prasmes vai kompetences (kvalifikācija) ir pielīdzināmas Latvijas kvalifikāciju ietvarstruktūrai.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norāda, ka drošības un aizsardzības joma mācības, kas varētu tikt īstenotas ārvalstīs, pamatā var tikt nodrošinātas pie konkrētu spēju uzņēmumiem, kuri, piemēram, apmāca personas savu ražoto tehnoloģiju izmantošanā. </w:t>
            </w:r>
            <w:r w:rsidR="00000000" w:rsidRPr="00000000" w:rsidDel="00000000">
              <w:rPr>
                <w:u w:val="single"/>
                <w:rtl w:val="0"/>
              </w:rPr>
              <w:t xml:space="preserve">Šādas apmācības - kas ir kritiski svarīgas pēc esošā regulējuma programmā nav klasificējamas nevienai no minētajiem kvalifikācijas veidiem </w:t>
            </w:r>
            <w:r w:rsidR="00000000" w:rsidRPr="00000000" w:rsidDel="00000000">
              <w:rPr>
                <w:rtl w:val="0"/>
              </w:rPr>
              <w:t xml:space="preserve">- līdz ar to izslēdz iespēju piedāvāt vajadzīgas un pieprasījumā balstītas apmācību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jāmin arī apmācības tādās būtiskās jomās kā darbības nepārtrauktība un civilā aizsardzība, kuru s</w:t>
            </w:r>
            <w:r w:rsidR="00000000" w:rsidRPr="00000000" w:rsidDel="00000000">
              <w:rPr>
                <w:u w:val="single"/>
                <w:rtl w:val="0"/>
              </w:rPr>
              <w:t xml:space="preserve">aturs tiktu veidots un pielāgots atbilstoši aktuālajai situācijai un uzņēmumu vajadzībām, tādā veidā arī tām neesot jau kā gataviem studiju moduļiem vai kursiem</w:t>
            </w:r>
            <w:r w:rsidR="00000000" w:rsidRPr="00000000" w:rsidDel="00000000">
              <w:rPr>
                <w:rtl w:val="0"/>
              </w:rPr>
              <w:t xml:space="preserve">, bet esot vairāk tieši kā neformālai izglītībai, taču ar lielu un būtisku ietekmi uz darba spēka prasmju pilnveidi.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īstenotā Prasmju fonda ietvaros aktuāla forma būtu arī darba vidē balstītas mācības – kas saskaņā ar IZM sniegto informāciju ir profesionālās izglītības forma, kurā praktiskās iemaņas vismaz pusi no mācību laika apgūst reālā darba vidē uzņēmumā, bet teorētiskās zināšanas - profesionālās izglītības iestādē. Attiecīgi, drošības un aizsardzības jomā šādas prakstiskās iemaņas (atsevišķos gadījumos arī teorētiskās) būtu iegūstamas pie ārvalstu uzņēmuma (pamatā – ražotāja), kur noslēgumā varētu tikt izsniegts šī uzņēmumā apliecinājums vai sertifikāts par īstenotajām apmācībām.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09.06. 2026.Izglītības un zinātnes ministrijas rīkotajā saskaņošanas sanāksmē ar DAIF Latvija pārstāvjiem pārrunāto, DAIF Latvija atsauc iebildumu pret projektu sagatavošanas fāzē sniegto skaidrojumu par kvalifikācijas definīciju programmas ietvaros, vienlaikus vienojoties par nepieciešamajām darbī</w:t>
            </w:r>
            <w:r w:rsidR="00000000" w:rsidRPr="00000000" w:rsidDel="00000000">
              <w:rPr>
                <w:rtl w:val="0"/>
              </w:rPr>
              <w:t xml:space="preserve">bām, </w:t>
            </w:r>
            <w:r w:rsidR="00000000" w:rsidRPr="00000000" w:rsidDel="00000000">
              <w:rPr>
                <w:rtl w:val="0"/>
              </w:rPr>
              <w:t xml:space="preserve">informāciju un termiņiem jautājuma risinājuma nodrošināšanai ārpus šī noteikumu projekta.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dalībnieki, kuri pēc dalības pārtraukšanas ir ieguvuši kvalifikāciju (personu skaits), – 3602;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Ja tiek pārkāpti Komisijas regulas Nr. 2023/2831 nosacījumi, komersantam ir pienākums atmaksāt prasmju fonda pārvaldītājam projekta ietvaros saņemto nelikumīgo komercdarbības atbalstu kopā ar procentiem no līdzekļiem, kas ir brīvi no komercdarbības atbalsta, atbilstoši Komercdarbības atbalsta kontroles likuma IV vai V nodaļas nosacījumiem. No komersanta atgūto nelikumīgo komercdarbības</w:t>
            </w:r>
            <w:r w:rsidR="00000000" w:rsidRPr="00000000" w:rsidDel="00000000">
              <w:rPr>
                <w:i w:val="1"/>
                <w:rtl w:val="0"/>
              </w:rPr>
              <w:t xml:space="preserve"> </w:t>
            </w:r>
            <w:r w:rsidR="00000000" w:rsidRPr="00000000" w:rsidDel="00000000">
              <w:rPr>
                <w:rtl w:val="0"/>
              </w:rPr>
              <w:t xml:space="preserve">atbalstu prasmju fonda pārvaldītājs var atkātoti piešķirt atbalsta programmas ietvaros citam komersantam.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prasmju fonda pārvaldītājs ir privātpersona un publiskie līdzekļi ir atmaksājami atpakaļ valstij (valsts iestādei), ja tie netiek atkārtoti piešķirti atbalsta programmas ietvaros citam komersantam, lūdzam noteikumu 65.punktu precizēt un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Ja tiek pārkāpti Komisijas regulas Nr. 2023/2831 nosacījumi, komersantam ir pienākums atmaksāt prasmju fonda pārvaldītājam projekta ietvaros saņemto nelikumīgo komercdarbības atbalstu kopā ar procentiem no līdzekļiem, kas ir brīvi no komercdarbības atbalsta, atbilstoši Komercdarbības atbalsta kontroles likuma IV vai V nodaļas nosacījumiem. No komersanta atgūto nelikumīgo komercdarbības atbalstu prasmju fonda pārvaldītājs var atkārtoti piešķirt atbalsta programmas ietvaros citam komersantam. Ja no komersanta atgūto nelikumīgo komercdarbības atbalstu prasmju fonda pārvaldītājs atbalsta programmas ietvaros nepiešķir citam komersantam, tad prasmju fonda pārvaldītājam ir pienākums to atmaksāt sadarbības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prasmju fonda pārvaldītājs ir privātpersona un publiskie līdzekļi ir atmaksājami atpakaļ valstij (valsts iestādei), ja tie netiek atkārtoti piešķirti atbalsta programmas ietvaros citam komersantam, noteikumu 65.punkts precizēts un izteikts FM piedāvātajā redakcijā.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Ja tiek pārkāpti Komisijas regulas Nr. 2023/2831 nosacījumi, komersantam ir pienākums atmaksāt prasmju fonda pārvaldītājam projekta ietvaros saņemto nelikumīgo komercdarbības atbalstu kopā ar procentiem no līdzekļiem, kas ir brīvi no komercdarbības atbalsta, atbilstoši Komercdarbības atbalsta kontroles likuma IV vai V nodaļas nosacījumiem. No komersanta atgūto nelikumīgo komercdarbības</w:t>
            </w:r>
            <w:r w:rsidR="00000000" w:rsidRPr="00000000" w:rsidDel="00000000">
              <w:rPr>
                <w:i w:val="1"/>
                <w:rtl w:val="0"/>
              </w:rPr>
              <w:t xml:space="preserve"> </w:t>
            </w:r>
            <w:r w:rsidR="00000000" w:rsidRPr="00000000" w:rsidDel="00000000">
              <w:rPr>
                <w:rtl w:val="0"/>
              </w:rPr>
              <w:t xml:space="preserve">atbalstu prasmju fonda pārvaldītājs var atkārtoti piešķirt atbalsta programmas ietvaros citam komersantam. Ja no komersanta atgūto nelikumīgo komercdarbības atbalstu prasmju fonda pārvaldītājs atbalsta programmas ietvaros nepiešķir citam komersantam, tad prasmju fonda pārvaldītājam ir pienākums to atmaksāt sadarbības iestādei.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izvērstāku skaidrojumu, kāpēc ziņojuma par prasmju fonda pilotprojekta rezultātiem un priekšlikumiem tā darbības pilnveidošanai un turpmākai īstenošanai līdz 2029. gadam, izstrādes un saskaņošanas ar Izglītības ministriju termiņš tiek pagarināts tieši par vienu gadu - līdz 2027.gada 31.maijam.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sadaļa "Risinājuma apraksts"</w:t>
            </w:r>
            <w:r w:rsidR="00000000" w:rsidRPr="00000000" w:rsidDel="00000000">
              <w:rPr>
                <w:rtl w:val="0"/>
              </w:rPr>
              <w:t xml:space="preserve">  papildināta ar skaidrojumu, kāpēc ziņojuma par prasmju fonda pilotprojekta rezultātiem un priekšlikumiem tā darbības pilnveidošanai un turpmākai īstenošanai līdz 2029. gadam, izstrādes un saskaņošanas ar Izglītības ministriju termiņš tiek pagarināts par vienu gadu - līdz 2027.gada 31.maijam.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veiktā grozījuma būtību, kā arī anotācijā noteikto, ka līgumus ar projektu iesniedzējiem plānots noslēgt ne vēlāk kā līdz 2026. gada jūnija sākumam, lai nodrošinātu tiesiskās paļāvības principa ievērošanu, lūdzam papildināt anotāciju ar informāciju par noteikumu projektā ietvertā grozījuma ietekmi uz finansējuma saņēmējiem un līgumiem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veiktā grozījuma būtību, kā arī anotācijā noteikto, ka līgumus ar projektu iesniedzējiem plānots noslēgt ne vēlāk kā līdz 2026. gada jūnija beigām, lai nodrošinātu tiesiskās paļāvības principa ievērošanu, anotācijas sadaļa "Risinājuma apraksts" papildināta  ar informāciju, ka noteikumu projektā ietvertajam grozījumam ir pozitīva ietekme uz finansējuma saņēmējiem un līgumiem par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faktisko 4.2.4.1. pasākuma 2.kārtas atlases procesa norisi, t.sk. ieskaitot projektu iesniegumu precizēšanu, un projektu iesniegumu apstiprināšanu, kā arī ievērojot 13.07.2023. MK noteikumu Nr.408 “Kārtība, kādā Eiropas Savienības fondu vadībā iesaistītās institūcijas nodrošina šo fondu ieviešanu 2021.–2027. gada plānošanas periodā” 18. un 19.punkta nosacījumus, līgumi ar finansējuma saņēmējiem tiks noslēgti līdz 2026.gada jūnija beigām, līdz ar to lūdzam anotācijas sadaļā “Risinājuma apraksts” precizēt informāciju par plānoto līgumu slēgšanu, izsakot šādā redakcijā: “Līgumus ar projektu iesniedzējiem plānots noslēgt līdz 2026. gada jūnija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faktisko 4.2.4.1. pasākuma 2.kārtas atlases procesa norisi, t.sk. ieskaitot projektu iesniegumu precizēšanu, un projektu iesniegumu apstiprināšanu, kā arī ievērojot 13.07.2023. MK noteikumu Nr.408 “Kārtība, kādā Eiropas Savienības fondu vadībā iesaistītās institūcijas nodrošina šo fondu ieviešanu 2021.–2027. gada plānošanas periodā” 18. un 19.punkta nosacījumus, līgumi ar finansējuma saņēmējiem tiks noslēgti līdz 2026.gada jūnija beigām, anotācijas sadaļā “Risinājuma apraksts” precizēta informācija par plānoto līgumu slēgšanu, izsakot šādā redakcijā: “Līgumus ar projektu iesniedzējiem plānots noslēgt līdz 2026. gada jūnija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noslēgusies 4.2.4.1. pasākuma “Atbalsts nozaru vajadzībās balstītai pieaugušo izglītībai” otrās kārtas projektu iesniegumu atlase, lūdzam izvērtēt nepieciešamību aktualizēt pasākuma finansējumu atbilstoši projekta iesniegumos apstiprinātajam izmaksu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noslēgusies 4.2.4.1. pasākuma “Atbalsts nozaru vajadzībās balstītai pieaugušo izglītībai” otrās kārtas projektu iesniegumu atlase, atbilstoši projekta iesniegumos apstiprinātajam izmaksu apjomam aktualizēts pasākuma finansē</w:t>
            </w:r>
            <w:r w:rsidR="00000000" w:rsidRPr="00000000" w:rsidDel="00000000">
              <w:rPr>
                <w:rtl w:val="0"/>
              </w:rPr>
              <w:t xml:space="preserve">jums </w:t>
            </w:r>
            <w:r w:rsidR="00000000" w:rsidRPr="00000000" w:rsidDel="00000000">
              <w:rPr>
                <w:rtl w:val="0"/>
              </w:rPr>
              <w:t xml:space="preserve">otrās</w:t>
            </w:r>
            <w:r w:rsidR="00000000" w:rsidRPr="00000000" w:rsidDel="00000000">
              <w:rPr>
                <w:rtl w:val="0"/>
              </w:rPr>
              <w:t xml:space="preserve"> kārtas īstenošanas noteikumos un attiecīgi papildināta arī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otrās kārtas ietvaros līdz 2029. gada 31. decembrim ir sasniedzami šādi uzraudzības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Izglītības un zinātnes ministriju</w:t>
            </w:r>
            <w:r w:rsidR="00000000" w:rsidRPr="00000000" w:rsidDel="00000000">
              <w:rPr>
                <w:u w:val="single"/>
                <w:rtl w:val="0"/>
              </w:rPr>
              <w:t xml:space="preserve"> pārvērtēt un precizēt MK noteikumu 5.punktā un 23.punktā iekļautos sasniedzamos uzraudzības rādītājus, ņemot vērā kopējo pieejamo finansējumu apmācību nodrošināšanai</w:t>
            </w:r>
            <w:r w:rsidR="00000000" w:rsidRPr="00000000" w:rsidDel="00000000">
              <w:rPr>
                <w:rtl w:val="0"/>
              </w:rPr>
              <w:t xml:space="preserve"> - attiecīgi, tiek identificēti riski par kvalitatīvu iznākuma un rezultāta rādītāju sasniegšanu atbilstoši prasmu fonda projektu mērķiem, identificējot iespējamās vidējās apmācību izmaksas uz vienu personu. Norādām, ka, piemēram, tieši tehnoloģiski ietilpīgu apmācību īstenošanai un prasmju ieguvei pieejamais vidējais finansējums uz vienu apmācāmo ir neatbilstoši mazs pretēji sagaidāmajam rezultātam projektu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lūdz pārvērtēt un precizē kvantitatīvo rādītāju skaitu Latvijas Drošības un aizsardzības industriju prasmju fonda projektā izņēmuma gadījumā, prioritāti vērtējot projektu mērķu sasniegšanu kvalitatīvi, nevis formālu kvantitatīvu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šādas izmaiņas Latvijas Drošības un aizsardzības industriju prasmju fonda projektā ir objektīvi pamatotas (atbilstoši aktuālajai ģeopolitiskajai un ekonomiskajai situācijai, un nepieciešamajai drošības un aizsardzības spēju attīstībai) un neradītu risku kopējā programmas mērķa sasniegšanai -  izstrādāt sociālajā dialogā balstītu Latvijai atbilstošu prasmju fondu darbības un finansēšanas modeli, lai attīstītu nozares komersantu darbinieku un potenciālā darbaspēka prasmes, </w:t>
            </w:r>
            <w:r w:rsidR="00000000" w:rsidRPr="00000000" w:rsidDel="00000000">
              <w:rPr>
                <w:u w:val="single"/>
                <w:rtl w:val="0"/>
              </w:rPr>
              <w:t xml:space="preserve">sekmējot to ātru un efektīvu pielāgošanos darba tirgus attīstības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09.06. 2026.Izglītības un zinātnes ministrijas rīkotajā saskaņošanas sanāksmē ar DAIF Latvija pārstāvjiem pārrunāto, DAIF Latvija atsauc priekšlikumu pārvērtēt un precizēt MK noteikumu 5.punktā un 23.punktā iekļautos sasniedzamos uzraudzības rādītājus, ņemot vērā kopējo pieejamo finansējumu apmācību nodrošināšanai, vienlaikus vienojoties par nepieciešamajām darbībām, informāciju un termiņiem jautājuma risinājuma nodrošināšanai ārpus šī noteikumu projekta.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otrās kārtas ietvaros līdz 2029. gada 31. decembrim ir sasniedzami šādi uzraudzības rādītāji: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Viena projekta ietvaros mācībās jāiesaista vismaz 1 580 nodarbinātas personas (unikālas personas), tostarp pašnodarbinātas personas, kas veido šo noteikumu </w:t>
            </w:r>
            <w:r w:rsidR="00000000" w:rsidRPr="00000000" w:rsidDel="00000000">
              <w:rPr>
                <w:rtl w:val="0"/>
              </w:rPr>
              <w:t xml:space="preserve">5.1.</w:t>
            </w:r>
            <w:r w:rsidR="00000000" w:rsidRPr="00000000" w:rsidDel="00000000">
              <w:rPr>
                <w:rtl w:val="0"/>
              </w:rPr>
              <w:t xml:space="preserve"> apakšpunktā minēto kopējo sasniedzamo iznākuma rādītāju.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w:t>
            </w:r>
            <w:r w:rsidR="00000000" w:rsidRPr="00000000" w:rsidDel="00000000">
              <w:rPr>
                <w:u w:val="single"/>
                <w:rtl w:val="0"/>
              </w:rPr>
              <w:t xml:space="preserve">izslēgt no MK noteikumu 23.punkta prasību par unikālu personu iesaisti apmācībās, paredzot iespēju arī iznākuma un rezultāta rādītājos iekļaut kopējās apmācītās personas (</w:t>
            </w:r>
            <w:r w:rsidR="00000000" w:rsidRPr="00000000" w:rsidDel="00000000">
              <w:rPr>
                <w:rtl w:val="0"/>
              </w:rPr>
              <w:t xml:space="preserve">piemēram, ja viena persona ir piedalījusies 2 apmācībās, tad arī "2" tiek iekļauts rādītājos).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norāda, ka īpaši ņemot vērā papildus MK noteikumu 5.punktā plānotos rezultāta rādītājus  - 6 mēnešus pēc aiziešanas (pēc dalības projektā) atrodas labākā darba tirgus situācijā (personu skaits) - un šajā gadījumā arī drošības un aizsardzības jomas specifiku, kur bieži konkrētam darbiniekam ir nepieciešamas dažādu (integrētu) prasmju pilnveidošana un apmācība, būtu adekvāti arī vienas personas vairākas apmācības iekļaut kopējos iznākuma un rezultāta rādītājos.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esošajos apstākļos, kad tieši drošības un aizsardzības jomā tehnoloģijas ļoti strauji mainās un vienam cilvēkam noteiktajā periodā ir nepieciešamas vairākas apmācības, nebūtu loģiski, ja programmas īstenošanas formālie nosacījumi bremzētu mērķtiecīgu un ilgtspējīgu apmācību īstenošanu. Būtiski, ka arī šobrīd – pēc aktuālajiem aizsardzības izaicinājumiem nacionālā līmenī, aizsardzības nozare ir norādījusi uz nepieciešamību būt aktīvā sadarbībā ar industriju un sekot līdzi tehnoloģiju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minams arī aspekts par ierobežota skaita konkrētu jomu speciālistu un kritiskā personāla pieejamību darba tirgū, kur apmācības var būt svarīgs motivācijas mehānisms kvalifikācijas paaugstināšanai un noturēšanai darba tirgū konkrētā uzņēmumā. </w:t>
            </w:r>
            <w:r w:rsidR="00000000" w:rsidRPr="00000000" w:rsidDel="00000000">
              <w:rPr>
                <w:u w:val="single"/>
                <w:rtl w:val="0"/>
              </w:rPr>
              <w:t xml:space="preserve">Pat, ja arī programmas nosacījumi neaizliedz vienai personai piedalīties apmācībās vairākkārtīgi, pieejamais kopējais finansējums un sasniedzamie rādītāji rada risku par pilnvērtīgu un efektīvu apmācību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09.06. 2026.Izglītības un zinātnes ministrijas rīkotajā saskaņošanas sanāksmē ar DAIF Latvija pārstāvjiem pārrunāto, DAIF Latvija atsauc priekšlikumu izslēgt no MK noteikumu 23.punkta prasību par unikālu personu iesaisti apmācībās, paredzot iespēju arī iznākuma un rezultāta rādītājos iekļaut kopējās apmācītās personas, vienlaikus vienojoties par nepieciešamajām darbībām, informāciju un termiņiem jautājuma risinājuma nodrošināšanai ārpus šī noteikumu projekta.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Viena projekta ietvaros mācībās jāiesaista vismaz 1 580 nodarbinātas personas (unikālas personas), tostarp pašnodarbinātas personas, kas veido šo noteikumu </w:t>
            </w:r>
            <w:r w:rsidR="00000000" w:rsidRPr="00000000" w:rsidDel="00000000">
              <w:rPr>
                <w:rtl w:val="0"/>
              </w:rPr>
              <w:t xml:space="preserve">5.1.</w:t>
            </w:r>
            <w:r w:rsidR="00000000" w:rsidRPr="00000000" w:rsidDel="00000000">
              <w:rPr>
                <w:rtl w:val="0"/>
              </w:rPr>
              <w:t xml:space="preserve"> apakšpunktā minēto kopējo sasniedzamo iznākuma rādītāju.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Pasākuma otrās kārtas ietvaros noteikti šādi izmaksu ierobežojumi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Ministru kabineta noteikumu redakcijā izdevumu pozīcijām, kurām noteikts procentuāls ierobežojums (piemēram, 33.punktā), nav skaidri noteikts, vai minētais procentuālais ierobežojums ir aprēķināms no projekta plānotajām vai faktiskajām attiecināmajām izmaksām. Ņemot vērā Revīzijas iestādes konstatējumus par situācijām, kad projekta īstenošanas gaitā rodas ietaupījums vai tiek konstatēti pārkāpumi, kuru rezultātā paredzēta nepamatoti izmaksāto vai neatļauti izmantoto līdzekļu atgūšana, pastāv risks, ka var tikt konstatēts procentuālā ierobežojuma pārsniegums arī gadījumos, kad izdevumi atbilst apstiprinātajam projekta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iespēju precizēt procentuālā ierobežojuma piemērošanas nosacījumus, nodrošinot to viennozīmīgu, saprotamu un praksē vienādi piemērojamu interpretāciju visām iesaistītajām pusēm, nosakot, ka procentuālais ierobežojums tiek aprēķināts attiecībā pret projekta plānotajām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gadījumā, kad projekta īstenošanas gaitā rodas ietaupījums vai tiek konstatēti pārkāpumi, kuru rezultātā paredzēta nepamatoti izmaksāto vai neatļauti izmantoto līdzekļu atgūšana, novērstu risku, ka var tikt konstatēts procentuālā ierobežojuma pārsniegums arī gadījumos, kad izdevumi atbilst apstiprinātajam projekta budžetam, precizēti MK noteikumu 33. punktā noteiktie procentuālā ierobežojuma piemērošanas nosacījumi, nodrošinot to viennozīmīgu, saprotamu un praksē vienādi piemērojamu interpretāciju visām iesaistītajām pusēm, nosakot, ka procentuālais ierobežojums tiek aprēķināts attiecībā pret projekta plānotajām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Pasākuma otrās kārtas ietvaros noteikti šādi izmaksu ierobežojumi no projekta plānotajām kopējām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Ar komercdarbības atbalsta piešķiršanu saistītie nosacījumi, kad komercdarbības atbalsts tiek piešķirts komersantam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starp gala labuma guvējiem ir iespējami komersanti, kuriem ir izsmelts pieejamais de minimis atbalsts  viena vienota uzņēmuma līmenī, kā rezultātā ir liegta iespēja piedalīties apmācībās šīs atbalsta programmas ietvaros, lūdzam izvērtēt iespēju iestrādāt SAM 4241 2.kārtas MK noteikumos nosacījumu, ka atbalstu mācībām gala labuma guvējiem būtu iespējams piešķirt arī saskaņā ar Komisijas regulu 651/2014.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Komisijas regulas 2021/1060 2.panta 9) d)  Komisijas regulas 651/2014 atbalstu drīkst piešķirt tikai CFLA, pirms šādas iespējas iekļaušanas programmas nosacījumos, ir nepieciešama diskusija par papildus finansējumu CFLA  šīs funkcijas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priekšlikuma īstenošana prasa padziļinātu izvērtējumu, tostarp attiecībā uz atbalsta administrēšanas modeli, kompetenču sadalījumu un iespējamo papildu finansējuma nepieciešamību sadarbības iestādei (CFLA) šīs funkcijas nodrošināšanai. Ņemot vērā minēto, kā arī nepieciešamību organizēt papildu diskusijas ar iesaistītajām pusēm, šī priekšlikuma risināšanai ir nepieciešams ilgāks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šobrīd virzītajos MK noteikumu grozījumos netiek ietverti papildu komercdarbības atbalsta nosacījumi, kas paredzētu iespēju piešķirt atbalstu mācībām gala labuma guvējiem arī saskaņā ar Komisijas Regulu (ES) Nr. 651/2014. Attiecīgā jautājuma izvērtēšana un iespējamie risinājumi var tikt skatīti atsevišķi turpmākajā darbā pie 4.2.4.1. pasākuma 2.kārtas nosacījumu pilnveides.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Ar komercdarbības atbalsta piešķiršanu saistītie nosacījumi, kad komercdarbības atbalsts tiek piešķirts komersantam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26-TA-894</w:t>
    </w:r>
    <w:r>
      <w:br/>
    </w:r>
    <w:r w:rsidR="00000000" w:rsidRPr="00000000" w:rsidDel="00000000">
      <w:rPr>
        <w:rtl w:val="0"/>
      </w:rPr>
      <w:t xml:space="preserve">04.08.2026. 16.22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26-TA-894</w:t>
    </w:r>
    <w:r>
      <w:br/>
    </w:r>
    <w:r w:rsidR="00000000" w:rsidRPr="00000000" w:rsidDel="00000000">
      <w:rPr>
        <w:rtl w:val="0"/>
      </w:rPr>
      <w:t xml:space="preserve">04.08.2026. 16.22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Izziņa_26-TA-894.docx</dc:title>
</cp:coreProperties>
</file>

<file path=docProps/custom.xml><?xml version="1.0" encoding="utf-8"?>
<Properties xmlns="http://schemas.openxmlformats.org/officeDocument/2006/custom-properties" xmlns:vt="http://schemas.openxmlformats.org/officeDocument/2006/docPropsVTypes"/>
</file>