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23C08" w14:textId="77777777" w:rsidR="00825EDC" w:rsidRPr="00825EDC" w:rsidRDefault="00825EDC" w:rsidP="00825EDC">
      <w:pPr>
        <w:pStyle w:val="Heading1"/>
        <w:jc w:val="left"/>
        <w:rPr>
          <w:b w:val="0"/>
          <w:sz w:val="26"/>
        </w:rPr>
      </w:pPr>
      <w:r w:rsidRPr="00825EDC">
        <w:rPr>
          <w:b w:val="0"/>
          <w:sz w:val="26"/>
        </w:rPr>
        <w:t xml:space="preserve">Budžeta un finanšu (nodokļu) komisija </w:t>
      </w:r>
    </w:p>
    <w:p w14:paraId="0605C934" w14:textId="77777777" w:rsidR="00825EDC" w:rsidRDefault="00825EDC" w:rsidP="00825EDC">
      <w:pPr>
        <w:jc w:val="right"/>
        <w:rPr>
          <w:sz w:val="26"/>
          <w:szCs w:val="26"/>
        </w:rPr>
      </w:pPr>
      <w:r w:rsidRPr="00F82F3A">
        <w:rPr>
          <w:sz w:val="26"/>
          <w:szCs w:val="26"/>
        </w:rPr>
        <w:t>Likumprojekts (steidzams) otrajam lasījumam</w:t>
      </w:r>
    </w:p>
    <w:p w14:paraId="270473E5" w14:textId="77777777" w:rsidR="00AC6656" w:rsidRPr="00DB1EFA" w:rsidRDefault="00AC6656" w:rsidP="00825EDC">
      <w:pPr>
        <w:jc w:val="right"/>
        <w:rPr>
          <w:sz w:val="18"/>
          <w:szCs w:val="18"/>
        </w:rPr>
      </w:pPr>
    </w:p>
    <w:p w14:paraId="70DEE986" w14:textId="77777777" w:rsidR="00CF089F" w:rsidRPr="00465734" w:rsidRDefault="00CF089F" w:rsidP="00CF089F">
      <w:pPr>
        <w:shd w:val="clear" w:color="auto" w:fill="FFFFFF"/>
        <w:jc w:val="center"/>
        <w:rPr>
          <w:color w:val="000000"/>
          <w:sz w:val="27"/>
          <w:szCs w:val="27"/>
          <w:lang w:eastAsia="lv-LV"/>
        </w:rPr>
      </w:pPr>
      <w:r w:rsidRPr="00465734">
        <w:rPr>
          <w:b/>
          <w:bCs/>
          <w:color w:val="333333"/>
          <w:sz w:val="28"/>
          <w:szCs w:val="28"/>
          <w:lang w:eastAsia="lv-LV"/>
        </w:rPr>
        <w:t>Par vidēja termiņa budžeta ietvaru 2022., 2023. un 2024. gadam</w:t>
      </w:r>
    </w:p>
    <w:p w14:paraId="32B1AD42" w14:textId="77777777" w:rsidR="00825EDC" w:rsidRPr="00216D7B" w:rsidRDefault="00D31F78" w:rsidP="00CF089F">
      <w:pPr>
        <w:jc w:val="center"/>
        <w:rPr>
          <w:b/>
          <w:bCs/>
          <w:i/>
          <w:sz w:val="26"/>
          <w:szCs w:val="26"/>
        </w:rPr>
      </w:pPr>
      <w:r w:rsidRPr="00216D7B">
        <w:rPr>
          <w:b/>
          <w:bCs/>
          <w:i/>
          <w:sz w:val="26"/>
          <w:szCs w:val="26"/>
        </w:rPr>
        <w:t xml:space="preserve"> </w:t>
      </w:r>
      <w:r w:rsidR="00F02BCB" w:rsidRPr="00216D7B">
        <w:rPr>
          <w:b/>
          <w:bCs/>
          <w:i/>
          <w:sz w:val="26"/>
          <w:szCs w:val="26"/>
        </w:rPr>
        <w:t>(Nr.</w:t>
      </w:r>
      <w:r w:rsidR="00CF089F">
        <w:rPr>
          <w:b/>
          <w:bCs/>
          <w:i/>
          <w:sz w:val="26"/>
          <w:szCs w:val="26"/>
        </w:rPr>
        <w:t>1194</w:t>
      </w:r>
      <w:r w:rsidR="00F02BCB" w:rsidRPr="00216D7B">
        <w:rPr>
          <w:b/>
          <w:bCs/>
          <w:i/>
          <w:sz w:val="26"/>
          <w:szCs w:val="26"/>
        </w:rPr>
        <w:t>/Lp1</w:t>
      </w:r>
      <w:r w:rsidR="00037D3C">
        <w:rPr>
          <w:b/>
          <w:bCs/>
          <w:i/>
          <w:sz w:val="26"/>
          <w:szCs w:val="26"/>
        </w:rPr>
        <w:t>3</w:t>
      </w:r>
      <w:r w:rsidR="00825EDC" w:rsidRPr="00216D7B">
        <w:rPr>
          <w:b/>
          <w:bCs/>
          <w:i/>
          <w:sz w:val="26"/>
          <w:szCs w:val="26"/>
        </w:rPr>
        <w:t>)</w:t>
      </w:r>
    </w:p>
    <w:p w14:paraId="65508AAD" w14:textId="77777777" w:rsidR="00825EDC" w:rsidRPr="00DB1EFA" w:rsidRDefault="00825EDC" w:rsidP="00825EDC">
      <w:pPr>
        <w:tabs>
          <w:tab w:val="left" w:pos="11880"/>
        </w:tabs>
        <w:rPr>
          <w:sz w:val="18"/>
          <w:szCs w:val="18"/>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644"/>
        <w:gridCol w:w="5168"/>
        <w:gridCol w:w="1451"/>
        <w:gridCol w:w="1260"/>
      </w:tblGrid>
      <w:tr w:rsidR="005C5FDC" w:rsidRPr="0094730E" w14:paraId="77D98A9D" w14:textId="77777777" w:rsidTr="005251F3">
        <w:tc>
          <w:tcPr>
            <w:tcW w:w="6516" w:type="dxa"/>
          </w:tcPr>
          <w:p w14:paraId="5DE4F68C" w14:textId="77777777" w:rsidR="005C5FDC" w:rsidRPr="0094730E" w:rsidRDefault="005C5FDC" w:rsidP="008C4B57">
            <w:pPr>
              <w:jc w:val="center"/>
              <w:rPr>
                <w:b/>
                <w:bCs/>
              </w:rPr>
            </w:pPr>
            <w:r w:rsidRPr="0094730E">
              <w:rPr>
                <w:b/>
                <w:bCs/>
              </w:rPr>
              <w:t>Pirmā lasījuma redakcija</w:t>
            </w:r>
          </w:p>
        </w:tc>
        <w:tc>
          <w:tcPr>
            <w:tcW w:w="644" w:type="dxa"/>
          </w:tcPr>
          <w:p w14:paraId="33D341AF" w14:textId="77777777" w:rsidR="005C5FDC" w:rsidRPr="0094730E" w:rsidRDefault="005C5FDC" w:rsidP="008C4B57">
            <w:pPr>
              <w:jc w:val="center"/>
              <w:rPr>
                <w:b/>
                <w:bCs/>
              </w:rPr>
            </w:pPr>
            <w:r w:rsidRPr="0094730E">
              <w:rPr>
                <w:b/>
                <w:bCs/>
              </w:rPr>
              <w:t>Nr.</w:t>
            </w:r>
          </w:p>
        </w:tc>
        <w:tc>
          <w:tcPr>
            <w:tcW w:w="5168" w:type="dxa"/>
          </w:tcPr>
          <w:p w14:paraId="4A8BB4D5" w14:textId="77777777" w:rsidR="005C5FDC" w:rsidRDefault="005C5FDC" w:rsidP="008C4B57">
            <w:pPr>
              <w:ind w:firstLine="567"/>
              <w:jc w:val="center"/>
              <w:rPr>
                <w:b/>
                <w:bCs/>
              </w:rPr>
            </w:pPr>
            <w:r w:rsidRPr="0094730E">
              <w:rPr>
                <w:b/>
                <w:bCs/>
              </w:rPr>
              <w:t>Priekšlikumi</w:t>
            </w:r>
          </w:p>
          <w:p w14:paraId="6CA53C8C" w14:textId="77777777" w:rsidR="005C5FDC" w:rsidRPr="0094730E" w:rsidRDefault="005C5FDC" w:rsidP="00FC60A3">
            <w:pPr>
              <w:ind w:firstLine="567"/>
              <w:jc w:val="center"/>
              <w:rPr>
                <w:b/>
                <w:bCs/>
              </w:rPr>
            </w:pPr>
          </w:p>
        </w:tc>
        <w:tc>
          <w:tcPr>
            <w:tcW w:w="1451" w:type="dxa"/>
          </w:tcPr>
          <w:p w14:paraId="1A10B9A7" w14:textId="77777777" w:rsidR="005C5FDC" w:rsidRPr="0094730E" w:rsidRDefault="005C5FDC" w:rsidP="008C4B57">
            <w:pPr>
              <w:jc w:val="center"/>
              <w:rPr>
                <w:b/>
                <w:bCs/>
              </w:rPr>
            </w:pPr>
            <w:r w:rsidRPr="0094730E">
              <w:rPr>
                <w:b/>
                <w:bCs/>
              </w:rPr>
              <w:t>Ministru kabineta atzinums</w:t>
            </w:r>
          </w:p>
        </w:tc>
        <w:tc>
          <w:tcPr>
            <w:tcW w:w="1260" w:type="dxa"/>
          </w:tcPr>
          <w:p w14:paraId="0EAEF9A3" w14:textId="77777777" w:rsidR="005C5FDC" w:rsidRPr="0094730E" w:rsidRDefault="005C5FDC" w:rsidP="008C4B57">
            <w:pPr>
              <w:jc w:val="center"/>
              <w:rPr>
                <w:b/>
                <w:bCs/>
              </w:rPr>
            </w:pPr>
            <w:r w:rsidRPr="0094730E">
              <w:rPr>
                <w:b/>
                <w:bCs/>
              </w:rPr>
              <w:t>Komisijas</w:t>
            </w:r>
          </w:p>
          <w:p w14:paraId="69AB9E01" w14:textId="77777777" w:rsidR="005C5FDC" w:rsidRPr="0094730E" w:rsidRDefault="005C5FDC" w:rsidP="008C4B57">
            <w:pPr>
              <w:jc w:val="center"/>
              <w:rPr>
                <w:b/>
                <w:bCs/>
              </w:rPr>
            </w:pPr>
            <w:r w:rsidRPr="0094730E">
              <w:rPr>
                <w:b/>
                <w:bCs/>
              </w:rPr>
              <w:t>atzinums</w:t>
            </w:r>
          </w:p>
        </w:tc>
      </w:tr>
      <w:tr w:rsidR="004722F7" w:rsidRPr="008B6465" w14:paraId="0EA9A723" w14:textId="77777777" w:rsidTr="005251F3">
        <w:tc>
          <w:tcPr>
            <w:tcW w:w="6516" w:type="dxa"/>
          </w:tcPr>
          <w:p w14:paraId="6FA7ABB5" w14:textId="77777777" w:rsidR="00CF089F" w:rsidRPr="002542DE" w:rsidRDefault="00CF089F" w:rsidP="0006720B">
            <w:pPr>
              <w:shd w:val="clear" w:color="auto" w:fill="FFFFFF"/>
              <w:ind w:firstLine="567"/>
              <w:jc w:val="both"/>
              <w:rPr>
                <w:sz w:val="22"/>
                <w:szCs w:val="22"/>
                <w:lang w:eastAsia="lv-LV"/>
              </w:rPr>
            </w:pPr>
            <w:r w:rsidRPr="002542DE">
              <w:rPr>
                <w:b/>
                <w:bCs/>
                <w:sz w:val="22"/>
                <w:szCs w:val="22"/>
                <w:lang w:eastAsia="lv-LV"/>
              </w:rPr>
              <w:t>1.</w:t>
            </w:r>
            <w:r w:rsidRPr="002542DE">
              <w:rPr>
                <w:sz w:val="22"/>
                <w:szCs w:val="22"/>
                <w:lang w:eastAsia="lv-LV"/>
              </w:rPr>
              <w:t> </w:t>
            </w:r>
            <w:r w:rsidRPr="002542DE">
              <w:rPr>
                <w:b/>
                <w:bCs/>
                <w:sz w:val="22"/>
                <w:szCs w:val="22"/>
                <w:lang w:eastAsia="lv-LV"/>
              </w:rPr>
              <w:t>pants.</w:t>
            </w:r>
          </w:p>
          <w:p w14:paraId="0E733691" w14:textId="77777777" w:rsidR="00CF089F" w:rsidRPr="002542DE" w:rsidRDefault="00CF089F" w:rsidP="0006720B">
            <w:pPr>
              <w:shd w:val="clear" w:color="auto" w:fill="FFFFFF"/>
              <w:ind w:firstLine="567"/>
              <w:jc w:val="both"/>
              <w:rPr>
                <w:sz w:val="22"/>
                <w:szCs w:val="22"/>
                <w:lang w:eastAsia="lv-LV"/>
              </w:rPr>
            </w:pPr>
            <w:r w:rsidRPr="002542DE">
              <w:rPr>
                <w:sz w:val="22"/>
                <w:szCs w:val="22"/>
                <w:lang w:eastAsia="lv-LV"/>
              </w:rPr>
              <w:t> Ar gadskārtējā valsts budžeta likuma projekta sagatavošanu, vidēja termiņa budžeta ietvara likuma projekta sagatavošanu, ar valsts budžetu saistīto lēmumu pieņemšanu un rīcību īsteno Fiskālās disciplīnas likumā noteiktos fiskālās politikas principus un šādus vidēja termiņa budžeta politikas prioritāros attīstības virzienus:</w:t>
            </w:r>
          </w:p>
          <w:p w14:paraId="75011D3B" w14:textId="77777777" w:rsidR="00CF089F" w:rsidRPr="002542DE" w:rsidRDefault="00CF089F" w:rsidP="0006720B">
            <w:pPr>
              <w:shd w:val="clear" w:color="auto" w:fill="FFFFFF"/>
              <w:ind w:firstLine="567"/>
              <w:jc w:val="both"/>
              <w:rPr>
                <w:sz w:val="22"/>
                <w:szCs w:val="22"/>
                <w:lang w:eastAsia="lv-LV"/>
              </w:rPr>
            </w:pPr>
            <w:r w:rsidRPr="002542DE">
              <w:rPr>
                <w:sz w:val="22"/>
                <w:szCs w:val="22"/>
                <w:lang w:eastAsia="lv-LV"/>
              </w:rPr>
              <w:t> 1) ienākumu nevienlīdzības mazināšana, palielinot diferencēto neapliekamo ienākumu minimumu un īstenojot ģimenes valsts pabalsta reformu;</w:t>
            </w:r>
          </w:p>
          <w:p w14:paraId="46CB685A" w14:textId="77777777" w:rsidR="00CF089F" w:rsidRPr="002542DE" w:rsidRDefault="00CF089F" w:rsidP="0006720B">
            <w:pPr>
              <w:shd w:val="clear" w:color="auto" w:fill="FFFFFF"/>
              <w:ind w:firstLine="567"/>
              <w:jc w:val="both"/>
              <w:rPr>
                <w:sz w:val="22"/>
                <w:szCs w:val="22"/>
                <w:lang w:eastAsia="lv-LV"/>
              </w:rPr>
            </w:pPr>
            <w:r w:rsidRPr="002542DE">
              <w:rPr>
                <w:sz w:val="22"/>
                <w:szCs w:val="22"/>
                <w:lang w:eastAsia="lv-LV"/>
              </w:rPr>
              <w:t xml:space="preserve"> 2) </w:t>
            </w:r>
            <w:proofErr w:type="spellStart"/>
            <w:r w:rsidRPr="002542DE">
              <w:rPr>
                <w:sz w:val="22"/>
                <w:szCs w:val="22"/>
                <w:lang w:eastAsia="lv-LV"/>
              </w:rPr>
              <w:t>cilvēkkapitāla</w:t>
            </w:r>
            <w:proofErr w:type="spellEnd"/>
            <w:r w:rsidRPr="002542DE">
              <w:rPr>
                <w:sz w:val="22"/>
                <w:szCs w:val="22"/>
                <w:lang w:eastAsia="lv-LV"/>
              </w:rPr>
              <w:t xml:space="preserve"> kapacitātes saglabāšana un stiprināšana publiskajā sektorā, palielinot finansējumu ārstniecības personu, amatpersonu ar speciālajām dienesta pakāpēm, pedagogu, kultūras nozares un sociālās aprūpes un sociālās rehabilitācijas institūciju darbinieku atalgojumu;</w:t>
            </w:r>
          </w:p>
          <w:p w14:paraId="046F31B8" w14:textId="77777777" w:rsidR="00CF089F" w:rsidRPr="002542DE" w:rsidRDefault="00CF089F" w:rsidP="0006720B">
            <w:pPr>
              <w:shd w:val="clear" w:color="auto" w:fill="FFFFFF"/>
              <w:ind w:firstLine="567"/>
              <w:jc w:val="both"/>
              <w:rPr>
                <w:sz w:val="22"/>
                <w:szCs w:val="22"/>
                <w:lang w:eastAsia="lv-LV"/>
              </w:rPr>
            </w:pPr>
            <w:r w:rsidRPr="002542DE">
              <w:rPr>
                <w:sz w:val="22"/>
                <w:szCs w:val="22"/>
                <w:lang w:eastAsia="lv-LV"/>
              </w:rPr>
              <w:t> 3) veselības aprūpes pakalpojumu uzlabošana onkoloģijas jomā, palielinot finansējumu  kompensējamiem medikamentiem un nodrošinot nepieciešamā aprīkojuma iegādi.</w:t>
            </w:r>
          </w:p>
          <w:p w14:paraId="38D31E56" w14:textId="77777777" w:rsidR="00CF089F" w:rsidRPr="002542DE" w:rsidRDefault="00CF089F" w:rsidP="0006720B">
            <w:pPr>
              <w:shd w:val="clear" w:color="auto" w:fill="FFFFFF"/>
              <w:ind w:firstLine="567"/>
              <w:jc w:val="both"/>
              <w:rPr>
                <w:sz w:val="22"/>
                <w:szCs w:val="22"/>
                <w:lang w:eastAsia="lv-LV"/>
              </w:rPr>
            </w:pPr>
            <w:r w:rsidRPr="002542DE">
              <w:rPr>
                <w:sz w:val="22"/>
                <w:szCs w:val="22"/>
                <w:lang w:eastAsia="lv-LV"/>
              </w:rPr>
              <w:t> 4) valsts inovatīvā potenciāla stiprināšana, palielinot zinātnes bāzes finansējumu un finansējumu fundamentālajiem un lietišķajiem pētījumiem.</w:t>
            </w:r>
          </w:p>
          <w:p w14:paraId="163F8F74" w14:textId="77777777" w:rsidR="00CF089F" w:rsidRPr="002542DE" w:rsidRDefault="00CF089F" w:rsidP="0006720B">
            <w:pPr>
              <w:shd w:val="clear" w:color="auto" w:fill="FFFFFF"/>
              <w:ind w:firstLine="567"/>
              <w:jc w:val="both"/>
              <w:rPr>
                <w:sz w:val="22"/>
                <w:szCs w:val="22"/>
                <w:lang w:eastAsia="lv-LV"/>
              </w:rPr>
            </w:pPr>
            <w:r w:rsidRPr="002542DE">
              <w:rPr>
                <w:sz w:val="22"/>
                <w:szCs w:val="22"/>
                <w:lang w:eastAsia="lv-LV"/>
              </w:rPr>
              <w:t xml:space="preserve"> 5) </w:t>
            </w:r>
            <w:proofErr w:type="spellStart"/>
            <w:r w:rsidRPr="002542DE">
              <w:rPr>
                <w:sz w:val="22"/>
                <w:szCs w:val="22"/>
                <w:lang w:eastAsia="lv-LV"/>
              </w:rPr>
              <w:t>pēcpandēmijas</w:t>
            </w:r>
            <w:proofErr w:type="spellEnd"/>
            <w:r w:rsidRPr="002542DE">
              <w:rPr>
                <w:sz w:val="22"/>
                <w:szCs w:val="22"/>
                <w:lang w:eastAsia="lv-LV"/>
              </w:rPr>
              <w:t xml:space="preserve"> perioda ekonomiskās vides noturības veicināšana, atbalstot uzņēmumu atgūšanos un attīstību, stiprinot uzņēmumu kapitāla bāzi un investīciju piesaisti.</w:t>
            </w:r>
          </w:p>
          <w:p w14:paraId="1F6F1030" w14:textId="77777777" w:rsidR="004722F7" w:rsidRPr="000847C0" w:rsidRDefault="00CF089F" w:rsidP="0006720B">
            <w:pPr>
              <w:shd w:val="clear" w:color="auto" w:fill="FFFFFF"/>
              <w:ind w:firstLine="567"/>
              <w:jc w:val="both"/>
              <w:rPr>
                <w:b/>
                <w:bCs/>
                <w:color w:val="000000" w:themeColor="text1"/>
                <w:sz w:val="22"/>
                <w:szCs w:val="22"/>
              </w:rPr>
            </w:pPr>
            <w:r w:rsidRPr="002542DE">
              <w:rPr>
                <w:sz w:val="22"/>
                <w:szCs w:val="22"/>
                <w:lang w:eastAsia="lv-LV"/>
              </w:rPr>
              <w:t xml:space="preserve"> 6) publisko investīciju projektu portfeļa palielināšana un finansēšana pašvaldību investīciju projektiem, valsts reģionālo autoceļu </w:t>
            </w:r>
            <w:r w:rsidRPr="002542DE">
              <w:rPr>
                <w:sz w:val="22"/>
                <w:szCs w:val="22"/>
                <w:lang w:eastAsia="lv-LV"/>
              </w:rPr>
              <w:lastRenderedPageBreak/>
              <w:t>pārbūvē un atjaunošanā, lauksaimniecības, meža un zivsaimniecības nozaru infrastruktūras pilnveidošanā, ugunsdzēsības un glābšanas transportlīdzekļu iegādei un investīcijām valsts  militārās un aizsardzības industrijas attīstībā.</w:t>
            </w:r>
          </w:p>
        </w:tc>
        <w:tc>
          <w:tcPr>
            <w:tcW w:w="644" w:type="dxa"/>
          </w:tcPr>
          <w:p w14:paraId="02CCBA03" w14:textId="77777777" w:rsidR="004722F7" w:rsidRPr="00D21B94" w:rsidRDefault="004722F7" w:rsidP="00EA09BE">
            <w:pPr>
              <w:jc w:val="center"/>
              <w:rPr>
                <w:b/>
                <w:sz w:val="22"/>
                <w:szCs w:val="22"/>
              </w:rPr>
            </w:pPr>
          </w:p>
        </w:tc>
        <w:tc>
          <w:tcPr>
            <w:tcW w:w="5168" w:type="dxa"/>
          </w:tcPr>
          <w:p w14:paraId="0308BDE4" w14:textId="77777777" w:rsidR="004722F7" w:rsidRPr="00AA5211" w:rsidRDefault="004722F7" w:rsidP="00AA5211">
            <w:pPr>
              <w:ind w:firstLine="567"/>
              <w:jc w:val="both"/>
              <w:rPr>
                <w:b/>
                <w:sz w:val="22"/>
                <w:szCs w:val="22"/>
                <w:u w:val="single"/>
              </w:rPr>
            </w:pPr>
          </w:p>
        </w:tc>
        <w:tc>
          <w:tcPr>
            <w:tcW w:w="1451" w:type="dxa"/>
          </w:tcPr>
          <w:p w14:paraId="01697B2C" w14:textId="77777777" w:rsidR="004722F7" w:rsidRPr="008C4B57" w:rsidRDefault="004722F7" w:rsidP="00635E31">
            <w:pPr>
              <w:jc w:val="center"/>
              <w:rPr>
                <w:b/>
                <w:sz w:val="22"/>
                <w:szCs w:val="22"/>
              </w:rPr>
            </w:pPr>
          </w:p>
        </w:tc>
        <w:tc>
          <w:tcPr>
            <w:tcW w:w="1260" w:type="dxa"/>
          </w:tcPr>
          <w:p w14:paraId="46A6F8F5" w14:textId="77777777" w:rsidR="004722F7" w:rsidRPr="008B6465" w:rsidRDefault="004722F7" w:rsidP="008B6465">
            <w:pPr>
              <w:jc w:val="both"/>
              <w:rPr>
                <w:b/>
                <w:sz w:val="22"/>
                <w:szCs w:val="22"/>
              </w:rPr>
            </w:pPr>
          </w:p>
        </w:tc>
      </w:tr>
      <w:tr w:rsidR="004722F7" w:rsidRPr="008B6465" w14:paraId="59429A09" w14:textId="77777777" w:rsidTr="005251F3">
        <w:tc>
          <w:tcPr>
            <w:tcW w:w="6516" w:type="dxa"/>
          </w:tcPr>
          <w:p w14:paraId="1D7DB099" w14:textId="77777777" w:rsidR="00CF089F" w:rsidRPr="002542DE" w:rsidRDefault="00CF089F" w:rsidP="0006720B">
            <w:pPr>
              <w:shd w:val="clear" w:color="auto" w:fill="FFFFFF"/>
              <w:ind w:firstLine="567"/>
              <w:jc w:val="both"/>
              <w:rPr>
                <w:sz w:val="22"/>
                <w:szCs w:val="22"/>
                <w:lang w:eastAsia="lv-LV"/>
              </w:rPr>
            </w:pPr>
            <w:r w:rsidRPr="002542DE">
              <w:rPr>
                <w:b/>
                <w:bCs/>
                <w:sz w:val="22"/>
                <w:szCs w:val="22"/>
                <w:lang w:eastAsia="lv-LV"/>
              </w:rPr>
              <w:t>2.</w:t>
            </w:r>
            <w:r w:rsidRPr="002542DE">
              <w:rPr>
                <w:sz w:val="22"/>
                <w:szCs w:val="22"/>
                <w:lang w:eastAsia="lv-LV"/>
              </w:rPr>
              <w:t> </w:t>
            </w:r>
            <w:r w:rsidRPr="002542DE">
              <w:rPr>
                <w:b/>
                <w:bCs/>
                <w:sz w:val="22"/>
                <w:szCs w:val="22"/>
                <w:lang w:eastAsia="lv-LV"/>
              </w:rPr>
              <w:t>pants.</w:t>
            </w:r>
          </w:p>
          <w:p w14:paraId="79ECB0F9" w14:textId="77777777" w:rsidR="004722F7" w:rsidRPr="000847C0" w:rsidRDefault="00CF089F" w:rsidP="0006720B">
            <w:pPr>
              <w:shd w:val="clear" w:color="auto" w:fill="FFFFFF"/>
              <w:ind w:firstLine="567"/>
              <w:jc w:val="both"/>
              <w:rPr>
                <w:b/>
                <w:bCs/>
                <w:color w:val="000000" w:themeColor="text1"/>
                <w:sz w:val="22"/>
                <w:szCs w:val="22"/>
              </w:rPr>
            </w:pPr>
            <w:r w:rsidRPr="002542DE">
              <w:rPr>
                <w:sz w:val="22"/>
                <w:szCs w:val="22"/>
                <w:lang w:eastAsia="lv-LV"/>
              </w:rPr>
              <w:t> Šā likuma sagatavošanā izmantota iekšzemes kopprodukta prognoze 2015. gada salīdzināmajās cenās 2022. gadam 28 898 000 000 </w:t>
            </w:r>
            <w:proofErr w:type="spellStart"/>
            <w:r w:rsidRPr="002542DE">
              <w:rPr>
                <w:i/>
                <w:iCs/>
                <w:sz w:val="22"/>
                <w:szCs w:val="22"/>
                <w:lang w:eastAsia="lv-LV"/>
              </w:rPr>
              <w:t>euro</w:t>
            </w:r>
            <w:proofErr w:type="spellEnd"/>
            <w:r w:rsidRPr="002542DE">
              <w:rPr>
                <w:sz w:val="22"/>
                <w:szCs w:val="22"/>
                <w:lang w:eastAsia="lv-LV"/>
              </w:rPr>
              <w:t> apmērā, 2023. gadam 29 898 000 000 </w:t>
            </w:r>
            <w:proofErr w:type="spellStart"/>
            <w:r w:rsidRPr="002542DE">
              <w:rPr>
                <w:i/>
                <w:iCs/>
                <w:sz w:val="22"/>
                <w:szCs w:val="22"/>
                <w:lang w:eastAsia="lv-LV"/>
              </w:rPr>
              <w:t>euro</w:t>
            </w:r>
            <w:proofErr w:type="spellEnd"/>
            <w:r w:rsidRPr="002542DE">
              <w:rPr>
                <w:sz w:val="22"/>
                <w:szCs w:val="22"/>
                <w:lang w:eastAsia="lv-LV"/>
              </w:rPr>
              <w:t> apmērā un 2024. gadam 30 903 000 000 </w:t>
            </w:r>
            <w:proofErr w:type="spellStart"/>
            <w:r w:rsidRPr="002542DE">
              <w:rPr>
                <w:i/>
                <w:iCs/>
                <w:sz w:val="22"/>
                <w:szCs w:val="22"/>
                <w:lang w:eastAsia="lv-LV"/>
              </w:rPr>
              <w:t>euro</w:t>
            </w:r>
            <w:proofErr w:type="spellEnd"/>
            <w:r w:rsidRPr="002542DE">
              <w:rPr>
                <w:sz w:val="22"/>
                <w:szCs w:val="22"/>
                <w:lang w:eastAsia="lv-LV"/>
              </w:rPr>
              <w:t> apmērā. Šā likuma sagatavošanā izmantota iekšzemes kopprodukta pieauguma tempa prognoze 2022. gadam 5,0 procenti, 2023. gadam 3,5 procenti, 2024. gadam 3,4 procenti. Šī likuma sagatavošanā izmantota iekšzemes kopprodukta prognoze faktiskajās cenās 2022. gadam 34 022 000 000 </w:t>
            </w:r>
            <w:proofErr w:type="spellStart"/>
            <w:r w:rsidRPr="002542DE">
              <w:rPr>
                <w:i/>
                <w:iCs/>
                <w:sz w:val="22"/>
                <w:szCs w:val="22"/>
                <w:lang w:eastAsia="lv-LV"/>
              </w:rPr>
              <w:t>euro</w:t>
            </w:r>
            <w:proofErr w:type="spellEnd"/>
            <w:r w:rsidRPr="002542DE">
              <w:rPr>
                <w:sz w:val="22"/>
                <w:szCs w:val="22"/>
                <w:lang w:eastAsia="lv-LV"/>
              </w:rPr>
              <w:t> apmērā, 2023. gadam 36 115 000 000 </w:t>
            </w:r>
            <w:proofErr w:type="spellStart"/>
            <w:r w:rsidRPr="002542DE">
              <w:rPr>
                <w:i/>
                <w:iCs/>
                <w:sz w:val="22"/>
                <w:szCs w:val="22"/>
                <w:lang w:eastAsia="lv-LV"/>
              </w:rPr>
              <w:t>euro</w:t>
            </w:r>
            <w:proofErr w:type="spellEnd"/>
            <w:r w:rsidRPr="002542DE">
              <w:rPr>
                <w:sz w:val="22"/>
                <w:szCs w:val="22"/>
                <w:lang w:eastAsia="lv-LV"/>
              </w:rPr>
              <w:t> apmērā un 2024. gadam 38 033 000 000 </w:t>
            </w:r>
            <w:proofErr w:type="spellStart"/>
            <w:r w:rsidRPr="002542DE">
              <w:rPr>
                <w:i/>
                <w:iCs/>
                <w:sz w:val="22"/>
                <w:szCs w:val="22"/>
                <w:lang w:eastAsia="lv-LV"/>
              </w:rPr>
              <w:t>euro</w:t>
            </w:r>
            <w:proofErr w:type="spellEnd"/>
            <w:r w:rsidRPr="002542DE">
              <w:rPr>
                <w:sz w:val="22"/>
                <w:szCs w:val="22"/>
                <w:lang w:eastAsia="lv-LV"/>
              </w:rPr>
              <w:t> apmērā.</w:t>
            </w:r>
          </w:p>
        </w:tc>
        <w:tc>
          <w:tcPr>
            <w:tcW w:w="644" w:type="dxa"/>
          </w:tcPr>
          <w:p w14:paraId="084E4708" w14:textId="77777777" w:rsidR="005250DD" w:rsidRPr="00D21B94" w:rsidRDefault="005250DD" w:rsidP="00EA09BE">
            <w:pPr>
              <w:jc w:val="center"/>
              <w:rPr>
                <w:b/>
                <w:sz w:val="22"/>
                <w:szCs w:val="22"/>
              </w:rPr>
            </w:pPr>
          </w:p>
        </w:tc>
        <w:tc>
          <w:tcPr>
            <w:tcW w:w="5168" w:type="dxa"/>
          </w:tcPr>
          <w:p w14:paraId="3E07BA13" w14:textId="77777777" w:rsidR="004722F7" w:rsidRPr="004722F7" w:rsidRDefault="004722F7" w:rsidP="004722F7">
            <w:pPr>
              <w:ind w:firstLine="567"/>
              <w:jc w:val="both"/>
              <w:rPr>
                <w:b/>
                <w:sz w:val="22"/>
                <w:szCs w:val="22"/>
                <w:u w:val="single"/>
              </w:rPr>
            </w:pPr>
          </w:p>
        </w:tc>
        <w:tc>
          <w:tcPr>
            <w:tcW w:w="1451" w:type="dxa"/>
          </w:tcPr>
          <w:p w14:paraId="497A3F45" w14:textId="77777777" w:rsidR="00600AD6" w:rsidRPr="008C4B57" w:rsidRDefault="00600AD6" w:rsidP="008C4B57">
            <w:pPr>
              <w:jc w:val="center"/>
              <w:rPr>
                <w:b/>
                <w:sz w:val="22"/>
                <w:szCs w:val="22"/>
              </w:rPr>
            </w:pPr>
          </w:p>
        </w:tc>
        <w:tc>
          <w:tcPr>
            <w:tcW w:w="1260" w:type="dxa"/>
          </w:tcPr>
          <w:p w14:paraId="71DA2822" w14:textId="77777777" w:rsidR="004722F7" w:rsidRPr="008B6465" w:rsidRDefault="004722F7" w:rsidP="008B6465">
            <w:pPr>
              <w:jc w:val="both"/>
              <w:rPr>
                <w:b/>
                <w:sz w:val="22"/>
                <w:szCs w:val="22"/>
              </w:rPr>
            </w:pPr>
          </w:p>
        </w:tc>
      </w:tr>
      <w:tr w:rsidR="004722F7" w:rsidRPr="008B6465" w14:paraId="4DF4DD8E" w14:textId="77777777" w:rsidTr="005251F3">
        <w:tc>
          <w:tcPr>
            <w:tcW w:w="6516" w:type="dxa"/>
          </w:tcPr>
          <w:p w14:paraId="6B1C2482" w14:textId="77777777" w:rsidR="00CF089F" w:rsidRPr="002542DE" w:rsidRDefault="00CF089F" w:rsidP="0006720B">
            <w:pPr>
              <w:shd w:val="clear" w:color="auto" w:fill="FFFFFF"/>
              <w:ind w:firstLine="567"/>
              <w:jc w:val="both"/>
              <w:rPr>
                <w:sz w:val="22"/>
                <w:szCs w:val="22"/>
                <w:lang w:eastAsia="lv-LV"/>
              </w:rPr>
            </w:pPr>
            <w:r w:rsidRPr="002542DE">
              <w:rPr>
                <w:b/>
                <w:bCs/>
                <w:sz w:val="22"/>
                <w:szCs w:val="22"/>
                <w:lang w:eastAsia="lv-LV"/>
              </w:rPr>
              <w:t>3.</w:t>
            </w:r>
            <w:r w:rsidRPr="002542DE">
              <w:rPr>
                <w:sz w:val="22"/>
                <w:szCs w:val="22"/>
                <w:lang w:eastAsia="lv-LV"/>
              </w:rPr>
              <w:t> </w:t>
            </w:r>
            <w:r w:rsidRPr="002542DE">
              <w:rPr>
                <w:b/>
                <w:bCs/>
                <w:sz w:val="22"/>
                <w:szCs w:val="22"/>
                <w:lang w:eastAsia="lv-LV"/>
              </w:rPr>
              <w:t>pants.</w:t>
            </w:r>
          </w:p>
          <w:p w14:paraId="31B175E1" w14:textId="77777777" w:rsidR="004722F7" w:rsidRPr="000847C0" w:rsidRDefault="00CF089F" w:rsidP="0006720B">
            <w:pPr>
              <w:shd w:val="clear" w:color="auto" w:fill="FFFFFF"/>
              <w:ind w:firstLine="567"/>
              <w:jc w:val="both"/>
              <w:rPr>
                <w:color w:val="000000" w:themeColor="text1"/>
                <w:sz w:val="22"/>
                <w:szCs w:val="22"/>
              </w:rPr>
            </w:pPr>
            <w:r w:rsidRPr="002542DE">
              <w:rPr>
                <w:sz w:val="22"/>
                <w:szCs w:val="22"/>
                <w:lang w:eastAsia="lv-LV"/>
              </w:rPr>
              <w:t> Šā likuma sagatavošanā izmantota potenciālā iekšzemes kopprodukta prognoze 2015. gada salīdzināmajās cenās 2022. gadam 29 049 000 000 </w:t>
            </w:r>
            <w:proofErr w:type="spellStart"/>
            <w:r w:rsidRPr="002542DE">
              <w:rPr>
                <w:i/>
                <w:iCs/>
                <w:sz w:val="22"/>
                <w:szCs w:val="22"/>
                <w:lang w:eastAsia="lv-LV"/>
              </w:rPr>
              <w:t>euro</w:t>
            </w:r>
            <w:proofErr w:type="spellEnd"/>
            <w:r w:rsidRPr="002542DE">
              <w:rPr>
                <w:sz w:val="22"/>
                <w:szCs w:val="22"/>
                <w:lang w:eastAsia="lv-LV"/>
              </w:rPr>
              <w:t> apmērā, 2023. gadam 29 918 000 000 </w:t>
            </w:r>
            <w:proofErr w:type="spellStart"/>
            <w:r w:rsidRPr="002542DE">
              <w:rPr>
                <w:i/>
                <w:iCs/>
                <w:sz w:val="22"/>
                <w:szCs w:val="22"/>
                <w:lang w:eastAsia="lv-LV"/>
              </w:rPr>
              <w:t>euro</w:t>
            </w:r>
            <w:proofErr w:type="spellEnd"/>
            <w:r w:rsidRPr="002542DE">
              <w:rPr>
                <w:sz w:val="22"/>
                <w:szCs w:val="22"/>
                <w:lang w:eastAsia="lv-LV"/>
              </w:rPr>
              <w:t> apmērā un 2024. gadam 30 845 000 000 </w:t>
            </w:r>
            <w:proofErr w:type="spellStart"/>
            <w:r w:rsidRPr="002542DE">
              <w:rPr>
                <w:i/>
                <w:iCs/>
                <w:sz w:val="22"/>
                <w:szCs w:val="22"/>
                <w:lang w:eastAsia="lv-LV"/>
              </w:rPr>
              <w:t>euro</w:t>
            </w:r>
            <w:proofErr w:type="spellEnd"/>
            <w:r w:rsidRPr="002542DE">
              <w:rPr>
                <w:sz w:val="22"/>
                <w:szCs w:val="22"/>
                <w:lang w:eastAsia="lv-LV"/>
              </w:rPr>
              <w:t> apmērā. Šā likuma sagatavošanā izmantota potenciālā iekšzemes kopprodukta pieauguma tempa prognoze 2022. gadam 2,7 procenti, 2023. gadam 3,0 procenti, 2024. gadam 3,1 procenti.</w:t>
            </w:r>
          </w:p>
        </w:tc>
        <w:tc>
          <w:tcPr>
            <w:tcW w:w="644" w:type="dxa"/>
          </w:tcPr>
          <w:p w14:paraId="00040CE3" w14:textId="77777777" w:rsidR="005250DD" w:rsidRPr="00D21B94" w:rsidRDefault="005250DD" w:rsidP="00EA09BE">
            <w:pPr>
              <w:jc w:val="center"/>
              <w:rPr>
                <w:b/>
                <w:sz w:val="22"/>
                <w:szCs w:val="22"/>
              </w:rPr>
            </w:pPr>
          </w:p>
        </w:tc>
        <w:tc>
          <w:tcPr>
            <w:tcW w:w="5168" w:type="dxa"/>
          </w:tcPr>
          <w:p w14:paraId="366F1344" w14:textId="77777777" w:rsidR="004722F7" w:rsidRPr="004722F7" w:rsidRDefault="004722F7" w:rsidP="006474C1">
            <w:pPr>
              <w:ind w:firstLine="567"/>
              <w:jc w:val="both"/>
              <w:rPr>
                <w:b/>
                <w:sz w:val="22"/>
                <w:szCs w:val="22"/>
                <w:u w:val="single"/>
              </w:rPr>
            </w:pPr>
          </w:p>
        </w:tc>
        <w:tc>
          <w:tcPr>
            <w:tcW w:w="1451" w:type="dxa"/>
          </w:tcPr>
          <w:p w14:paraId="5E42F763" w14:textId="77777777" w:rsidR="00600AD6" w:rsidRPr="008C4B57" w:rsidRDefault="00600AD6" w:rsidP="008C4B57">
            <w:pPr>
              <w:jc w:val="center"/>
              <w:rPr>
                <w:b/>
                <w:sz w:val="22"/>
                <w:szCs w:val="22"/>
              </w:rPr>
            </w:pPr>
          </w:p>
        </w:tc>
        <w:tc>
          <w:tcPr>
            <w:tcW w:w="1260" w:type="dxa"/>
          </w:tcPr>
          <w:p w14:paraId="4A1976F1" w14:textId="77777777" w:rsidR="004722F7" w:rsidRPr="008B6465" w:rsidRDefault="004722F7" w:rsidP="008B6465">
            <w:pPr>
              <w:jc w:val="both"/>
              <w:rPr>
                <w:b/>
                <w:sz w:val="22"/>
                <w:szCs w:val="22"/>
              </w:rPr>
            </w:pPr>
          </w:p>
        </w:tc>
      </w:tr>
      <w:tr w:rsidR="00A20E2D" w:rsidRPr="008B6465" w14:paraId="788C2B39" w14:textId="77777777" w:rsidTr="005251F3">
        <w:tc>
          <w:tcPr>
            <w:tcW w:w="6516" w:type="dxa"/>
          </w:tcPr>
          <w:p w14:paraId="45E480E7" w14:textId="77777777" w:rsidR="00CF089F" w:rsidRPr="002542DE" w:rsidRDefault="00CF089F" w:rsidP="0006720B">
            <w:pPr>
              <w:shd w:val="clear" w:color="auto" w:fill="FFFFFF"/>
              <w:ind w:firstLine="567"/>
              <w:jc w:val="both"/>
              <w:rPr>
                <w:sz w:val="22"/>
                <w:szCs w:val="22"/>
                <w:lang w:eastAsia="lv-LV"/>
              </w:rPr>
            </w:pPr>
            <w:r w:rsidRPr="002542DE">
              <w:rPr>
                <w:b/>
                <w:bCs/>
                <w:sz w:val="22"/>
                <w:szCs w:val="22"/>
                <w:lang w:eastAsia="lv-LV"/>
              </w:rPr>
              <w:t>4.</w:t>
            </w:r>
            <w:r w:rsidRPr="002542DE">
              <w:rPr>
                <w:sz w:val="22"/>
                <w:szCs w:val="22"/>
                <w:lang w:eastAsia="lv-LV"/>
              </w:rPr>
              <w:t> </w:t>
            </w:r>
            <w:r w:rsidRPr="002542DE">
              <w:rPr>
                <w:b/>
                <w:bCs/>
                <w:sz w:val="22"/>
                <w:szCs w:val="22"/>
                <w:lang w:eastAsia="lv-LV"/>
              </w:rPr>
              <w:t>pants.</w:t>
            </w:r>
          </w:p>
          <w:p w14:paraId="6A320278" w14:textId="77777777" w:rsidR="00A20E2D" w:rsidRPr="000847C0" w:rsidRDefault="00CF089F" w:rsidP="0006720B">
            <w:pPr>
              <w:shd w:val="clear" w:color="auto" w:fill="FFFFFF"/>
              <w:ind w:firstLine="567"/>
              <w:jc w:val="both"/>
              <w:rPr>
                <w:b/>
                <w:bCs/>
                <w:color w:val="000000"/>
                <w:sz w:val="22"/>
                <w:szCs w:val="22"/>
              </w:rPr>
            </w:pPr>
            <w:r w:rsidRPr="002542DE">
              <w:rPr>
                <w:sz w:val="22"/>
                <w:szCs w:val="22"/>
                <w:lang w:eastAsia="lv-LV"/>
              </w:rPr>
              <w:t> Vispārējās valdības budžeta strukturālās bilances mērķis atbilstoši Eiropas Kontu sistēmas metodoloģijai, kas noteikta saskaņā ar Eiropas Parlamenta un Padomes 2013. gada 21. maija regulu (ES) Nr. 549/2013 par Eiropas nacionālo un reģionālo kontu sistēmu Eiropas Savienībā (turpmāk — Eiropas nacionālo un reģionālo kontu sistēma Eiropas Savienībā), 2022. gadā ir -4,7 procenti no iekšzemes kopprodukta, 2023. gadā -2,1 procenti no iekšzemes kopprodukta un 2024. gadā -1,4 procenti no iekšzemes kopprodukta.</w:t>
            </w:r>
          </w:p>
        </w:tc>
        <w:tc>
          <w:tcPr>
            <w:tcW w:w="644" w:type="dxa"/>
          </w:tcPr>
          <w:p w14:paraId="1B95ACA8" w14:textId="77777777" w:rsidR="003127E4" w:rsidRPr="00D21B94" w:rsidRDefault="003127E4" w:rsidP="00EA09BE">
            <w:pPr>
              <w:jc w:val="center"/>
              <w:rPr>
                <w:b/>
                <w:sz w:val="22"/>
                <w:szCs w:val="22"/>
              </w:rPr>
            </w:pPr>
          </w:p>
        </w:tc>
        <w:tc>
          <w:tcPr>
            <w:tcW w:w="5168" w:type="dxa"/>
          </w:tcPr>
          <w:p w14:paraId="580D748F" w14:textId="77777777" w:rsidR="00575955" w:rsidRPr="003E4E9D" w:rsidRDefault="00575955" w:rsidP="003E4E9D">
            <w:pPr>
              <w:ind w:firstLine="567"/>
              <w:jc w:val="both"/>
              <w:rPr>
                <w:b/>
                <w:sz w:val="22"/>
                <w:szCs w:val="22"/>
                <w:u w:val="single"/>
              </w:rPr>
            </w:pPr>
          </w:p>
        </w:tc>
        <w:tc>
          <w:tcPr>
            <w:tcW w:w="1451" w:type="dxa"/>
          </w:tcPr>
          <w:p w14:paraId="173D6F63" w14:textId="77777777" w:rsidR="00755475" w:rsidRPr="008C4B57" w:rsidRDefault="00755475" w:rsidP="008C4B57">
            <w:pPr>
              <w:jc w:val="center"/>
              <w:rPr>
                <w:b/>
                <w:sz w:val="22"/>
                <w:szCs w:val="22"/>
              </w:rPr>
            </w:pPr>
          </w:p>
        </w:tc>
        <w:tc>
          <w:tcPr>
            <w:tcW w:w="1260" w:type="dxa"/>
          </w:tcPr>
          <w:p w14:paraId="2AE6EFD9" w14:textId="77777777" w:rsidR="00A20E2D" w:rsidRPr="008B6465" w:rsidRDefault="00A20E2D" w:rsidP="008B6465">
            <w:pPr>
              <w:jc w:val="both"/>
              <w:rPr>
                <w:b/>
                <w:sz w:val="22"/>
                <w:szCs w:val="22"/>
              </w:rPr>
            </w:pPr>
          </w:p>
        </w:tc>
      </w:tr>
      <w:tr w:rsidR="004722F7" w:rsidRPr="008B6465" w14:paraId="2B803D21" w14:textId="77777777" w:rsidTr="005251F3">
        <w:tc>
          <w:tcPr>
            <w:tcW w:w="6516" w:type="dxa"/>
          </w:tcPr>
          <w:p w14:paraId="34633047"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t>5.</w:t>
            </w:r>
            <w:r w:rsidRPr="002542DE">
              <w:rPr>
                <w:sz w:val="22"/>
                <w:szCs w:val="22"/>
                <w:lang w:eastAsia="lv-LV"/>
              </w:rPr>
              <w:t> </w:t>
            </w:r>
            <w:r w:rsidRPr="002542DE">
              <w:rPr>
                <w:b/>
                <w:bCs/>
                <w:sz w:val="22"/>
                <w:szCs w:val="22"/>
                <w:lang w:eastAsia="lv-LV"/>
              </w:rPr>
              <w:t>pants.</w:t>
            </w:r>
          </w:p>
          <w:p w14:paraId="5C3FF653" w14:textId="77777777" w:rsidR="004722F7" w:rsidRPr="000847C0" w:rsidRDefault="00B62EC8" w:rsidP="0006720B">
            <w:pPr>
              <w:shd w:val="clear" w:color="auto" w:fill="FFFFFF"/>
              <w:ind w:firstLine="567"/>
              <w:jc w:val="both"/>
              <w:rPr>
                <w:b/>
                <w:color w:val="000000" w:themeColor="text1"/>
                <w:sz w:val="22"/>
                <w:szCs w:val="22"/>
              </w:rPr>
            </w:pPr>
            <w:r w:rsidRPr="002542DE">
              <w:rPr>
                <w:sz w:val="22"/>
                <w:szCs w:val="22"/>
                <w:lang w:eastAsia="lv-LV"/>
              </w:rPr>
              <w:t xml:space="preserve"> No vispārējās valdības budžeta strukturālās bilances mērķa izrietošā vispārējās valdības budžeta bilance atbilstoši Eiropas nacionālo </w:t>
            </w:r>
            <w:r w:rsidRPr="002542DE">
              <w:rPr>
                <w:sz w:val="22"/>
                <w:szCs w:val="22"/>
                <w:lang w:eastAsia="lv-LV"/>
              </w:rPr>
              <w:lastRenderedPageBreak/>
              <w:t>un reģionālo kontu sistēmas Eiropas Savienībā metodoloģijai 2022. gadā ir -4,9 procenti no iekšzemes kopprodukta, 2023. gadā 2,2 procenti no iekšzemes kopprodukta un 2024. gadā -1,4 procenti no iekšzemes kopprodukta.</w:t>
            </w:r>
          </w:p>
        </w:tc>
        <w:tc>
          <w:tcPr>
            <w:tcW w:w="644" w:type="dxa"/>
          </w:tcPr>
          <w:p w14:paraId="1CD9A286" w14:textId="77777777" w:rsidR="004722F7" w:rsidRPr="00D21B94" w:rsidRDefault="004722F7" w:rsidP="00EA09BE">
            <w:pPr>
              <w:jc w:val="center"/>
              <w:rPr>
                <w:b/>
                <w:sz w:val="22"/>
                <w:szCs w:val="22"/>
              </w:rPr>
            </w:pPr>
          </w:p>
        </w:tc>
        <w:tc>
          <w:tcPr>
            <w:tcW w:w="5168" w:type="dxa"/>
          </w:tcPr>
          <w:p w14:paraId="643CB662" w14:textId="77777777" w:rsidR="004722F7" w:rsidRPr="001E02AA" w:rsidRDefault="004722F7" w:rsidP="004722F7">
            <w:pPr>
              <w:ind w:firstLine="567"/>
              <w:jc w:val="both"/>
              <w:rPr>
                <w:b/>
                <w:i/>
                <w:sz w:val="22"/>
                <w:szCs w:val="22"/>
              </w:rPr>
            </w:pPr>
          </w:p>
        </w:tc>
        <w:tc>
          <w:tcPr>
            <w:tcW w:w="1451" w:type="dxa"/>
          </w:tcPr>
          <w:p w14:paraId="082DC74A" w14:textId="77777777" w:rsidR="004722F7" w:rsidRPr="008C4B57" w:rsidRDefault="004722F7" w:rsidP="008C4B57">
            <w:pPr>
              <w:jc w:val="center"/>
              <w:rPr>
                <w:b/>
                <w:sz w:val="22"/>
                <w:szCs w:val="22"/>
              </w:rPr>
            </w:pPr>
          </w:p>
        </w:tc>
        <w:tc>
          <w:tcPr>
            <w:tcW w:w="1260" w:type="dxa"/>
          </w:tcPr>
          <w:p w14:paraId="5F4314C2" w14:textId="77777777" w:rsidR="004722F7" w:rsidRPr="008B6465" w:rsidRDefault="004722F7" w:rsidP="008B6465">
            <w:pPr>
              <w:jc w:val="both"/>
              <w:rPr>
                <w:b/>
                <w:sz w:val="22"/>
                <w:szCs w:val="22"/>
              </w:rPr>
            </w:pPr>
          </w:p>
        </w:tc>
      </w:tr>
      <w:tr w:rsidR="005C5FDC" w:rsidRPr="008B6465" w14:paraId="42A7B4D8" w14:textId="77777777" w:rsidTr="005251F3">
        <w:tc>
          <w:tcPr>
            <w:tcW w:w="6516" w:type="dxa"/>
          </w:tcPr>
          <w:p w14:paraId="71B5EEFB"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t>6.</w:t>
            </w:r>
            <w:r w:rsidRPr="002542DE">
              <w:rPr>
                <w:sz w:val="22"/>
                <w:szCs w:val="22"/>
                <w:lang w:eastAsia="lv-LV"/>
              </w:rPr>
              <w:t> </w:t>
            </w:r>
            <w:r w:rsidRPr="002542DE">
              <w:rPr>
                <w:b/>
                <w:bCs/>
                <w:sz w:val="22"/>
                <w:szCs w:val="22"/>
                <w:lang w:eastAsia="lv-LV"/>
              </w:rPr>
              <w:t>pants.</w:t>
            </w:r>
          </w:p>
          <w:p w14:paraId="6B9E04C6" w14:textId="77777777" w:rsidR="005C5FDC" w:rsidRPr="000847C0" w:rsidRDefault="00B62EC8" w:rsidP="0006720B">
            <w:pPr>
              <w:shd w:val="clear" w:color="auto" w:fill="FFFFFF"/>
              <w:ind w:firstLine="567"/>
              <w:jc w:val="both"/>
              <w:rPr>
                <w:b/>
                <w:sz w:val="22"/>
                <w:szCs w:val="22"/>
              </w:rPr>
            </w:pPr>
            <w:r w:rsidRPr="002542DE">
              <w:rPr>
                <w:sz w:val="22"/>
                <w:szCs w:val="22"/>
                <w:lang w:eastAsia="lv-LV"/>
              </w:rPr>
              <w:t> Noteikt valsts budžeta finansiālās bilances apjomu un maksimāli pieļaujamo valsts budžeta izdevumu kopapjomu 2022., 2023. un 2024. gadam saskaņā ar šā likuma 1. pielikumu.</w:t>
            </w:r>
          </w:p>
        </w:tc>
        <w:tc>
          <w:tcPr>
            <w:tcW w:w="644" w:type="dxa"/>
          </w:tcPr>
          <w:p w14:paraId="282A07DB" w14:textId="77777777" w:rsidR="00CA3ADC" w:rsidRPr="00D21B94" w:rsidRDefault="00CA3ADC" w:rsidP="00EA09BE">
            <w:pPr>
              <w:jc w:val="center"/>
              <w:rPr>
                <w:b/>
                <w:sz w:val="22"/>
                <w:szCs w:val="22"/>
              </w:rPr>
            </w:pPr>
          </w:p>
        </w:tc>
        <w:tc>
          <w:tcPr>
            <w:tcW w:w="5168" w:type="dxa"/>
          </w:tcPr>
          <w:p w14:paraId="6F7C33FF" w14:textId="77777777" w:rsidR="00D21B94" w:rsidRPr="001E02AA" w:rsidRDefault="00D21B94" w:rsidP="001E02AA">
            <w:pPr>
              <w:ind w:firstLine="567"/>
              <w:jc w:val="both"/>
              <w:rPr>
                <w:b/>
                <w:i/>
                <w:sz w:val="22"/>
                <w:szCs w:val="22"/>
              </w:rPr>
            </w:pPr>
          </w:p>
        </w:tc>
        <w:tc>
          <w:tcPr>
            <w:tcW w:w="1451" w:type="dxa"/>
          </w:tcPr>
          <w:p w14:paraId="0AE3BCDE" w14:textId="77777777" w:rsidR="005C5FDC" w:rsidRPr="008C4B57" w:rsidRDefault="005C5FDC" w:rsidP="008C4B57">
            <w:pPr>
              <w:jc w:val="center"/>
              <w:rPr>
                <w:b/>
                <w:sz w:val="22"/>
                <w:szCs w:val="22"/>
              </w:rPr>
            </w:pPr>
          </w:p>
        </w:tc>
        <w:tc>
          <w:tcPr>
            <w:tcW w:w="1260" w:type="dxa"/>
          </w:tcPr>
          <w:p w14:paraId="5DD1549B" w14:textId="77777777" w:rsidR="005C5FDC" w:rsidRPr="008B6465" w:rsidRDefault="005C5FDC" w:rsidP="008B6465">
            <w:pPr>
              <w:jc w:val="both"/>
              <w:rPr>
                <w:b/>
                <w:sz w:val="22"/>
                <w:szCs w:val="22"/>
              </w:rPr>
            </w:pPr>
          </w:p>
        </w:tc>
      </w:tr>
      <w:tr w:rsidR="00B60EDA" w:rsidRPr="008B6465" w14:paraId="7F171811" w14:textId="77777777" w:rsidTr="005251F3">
        <w:tc>
          <w:tcPr>
            <w:tcW w:w="6516" w:type="dxa"/>
          </w:tcPr>
          <w:p w14:paraId="36D1A9F2"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t>7.</w:t>
            </w:r>
            <w:r w:rsidRPr="002542DE">
              <w:rPr>
                <w:sz w:val="22"/>
                <w:szCs w:val="22"/>
                <w:lang w:eastAsia="lv-LV"/>
              </w:rPr>
              <w:t> </w:t>
            </w:r>
            <w:r w:rsidRPr="002542DE">
              <w:rPr>
                <w:b/>
                <w:bCs/>
                <w:sz w:val="22"/>
                <w:szCs w:val="22"/>
                <w:lang w:eastAsia="lv-LV"/>
              </w:rPr>
              <w:t>pants.</w:t>
            </w:r>
          </w:p>
          <w:p w14:paraId="24717CD6" w14:textId="77777777" w:rsidR="00B60EDA" w:rsidRPr="000847C0" w:rsidRDefault="00B62EC8" w:rsidP="0006720B">
            <w:pPr>
              <w:shd w:val="clear" w:color="auto" w:fill="FFFFFF"/>
              <w:ind w:firstLine="567"/>
              <w:jc w:val="both"/>
              <w:rPr>
                <w:color w:val="000000"/>
                <w:sz w:val="22"/>
                <w:szCs w:val="22"/>
              </w:rPr>
            </w:pPr>
            <w:r w:rsidRPr="002542DE">
              <w:rPr>
                <w:sz w:val="22"/>
                <w:szCs w:val="22"/>
                <w:lang w:eastAsia="lv-LV"/>
              </w:rPr>
              <w:t> Noteikt valsts budžeta ieņēmumu prognozes 2022., 2023. un 2024. gadam saskaņā ar šā likuma 1. un 2. pielikumu.</w:t>
            </w:r>
          </w:p>
        </w:tc>
        <w:tc>
          <w:tcPr>
            <w:tcW w:w="644" w:type="dxa"/>
          </w:tcPr>
          <w:p w14:paraId="30CEE201" w14:textId="77777777" w:rsidR="00B60EDA" w:rsidRPr="00D21B94" w:rsidRDefault="00B60EDA" w:rsidP="00EA09BE">
            <w:pPr>
              <w:jc w:val="center"/>
              <w:rPr>
                <w:b/>
                <w:sz w:val="22"/>
                <w:szCs w:val="22"/>
              </w:rPr>
            </w:pPr>
          </w:p>
        </w:tc>
        <w:tc>
          <w:tcPr>
            <w:tcW w:w="5168" w:type="dxa"/>
          </w:tcPr>
          <w:p w14:paraId="0BC1060D" w14:textId="77777777" w:rsidR="00CA3ADC" w:rsidRPr="001E02AA" w:rsidRDefault="00CA3ADC" w:rsidP="001E02AA">
            <w:pPr>
              <w:pStyle w:val="BodyText"/>
              <w:ind w:firstLine="567"/>
              <w:rPr>
                <w:b/>
                <w:sz w:val="22"/>
                <w:szCs w:val="22"/>
                <w:u w:val="single"/>
              </w:rPr>
            </w:pPr>
          </w:p>
        </w:tc>
        <w:tc>
          <w:tcPr>
            <w:tcW w:w="1451" w:type="dxa"/>
          </w:tcPr>
          <w:p w14:paraId="0711D15B" w14:textId="77777777" w:rsidR="00B60EDA" w:rsidRPr="008C4B57" w:rsidRDefault="00B60EDA" w:rsidP="008C4B57">
            <w:pPr>
              <w:jc w:val="center"/>
              <w:rPr>
                <w:b/>
                <w:sz w:val="22"/>
                <w:szCs w:val="22"/>
              </w:rPr>
            </w:pPr>
          </w:p>
        </w:tc>
        <w:tc>
          <w:tcPr>
            <w:tcW w:w="1260" w:type="dxa"/>
          </w:tcPr>
          <w:p w14:paraId="51993F1D" w14:textId="77777777" w:rsidR="00B60EDA" w:rsidRPr="008B6465" w:rsidRDefault="00B60EDA" w:rsidP="008B6465">
            <w:pPr>
              <w:jc w:val="both"/>
              <w:rPr>
                <w:sz w:val="22"/>
                <w:szCs w:val="22"/>
              </w:rPr>
            </w:pPr>
          </w:p>
        </w:tc>
      </w:tr>
      <w:tr w:rsidR="00B60EDA" w:rsidRPr="008B6465" w14:paraId="0A4D6FA0" w14:textId="77777777" w:rsidTr="005251F3">
        <w:tc>
          <w:tcPr>
            <w:tcW w:w="6516" w:type="dxa"/>
          </w:tcPr>
          <w:p w14:paraId="340350E4"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t>8.</w:t>
            </w:r>
            <w:r w:rsidRPr="002542DE">
              <w:rPr>
                <w:sz w:val="22"/>
                <w:szCs w:val="22"/>
                <w:lang w:eastAsia="lv-LV"/>
              </w:rPr>
              <w:t> </w:t>
            </w:r>
            <w:r w:rsidRPr="002542DE">
              <w:rPr>
                <w:b/>
                <w:bCs/>
                <w:sz w:val="22"/>
                <w:szCs w:val="22"/>
                <w:lang w:eastAsia="lv-LV"/>
              </w:rPr>
              <w:t>pants.</w:t>
            </w:r>
          </w:p>
          <w:p w14:paraId="7E431976" w14:textId="77777777" w:rsidR="00B60EDA" w:rsidRPr="000847C0" w:rsidRDefault="00B62EC8" w:rsidP="0006720B">
            <w:pPr>
              <w:shd w:val="clear" w:color="auto" w:fill="FFFFFF"/>
              <w:ind w:firstLine="567"/>
              <w:jc w:val="both"/>
              <w:rPr>
                <w:b/>
                <w:color w:val="000000"/>
                <w:sz w:val="22"/>
                <w:szCs w:val="22"/>
              </w:rPr>
            </w:pPr>
            <w:r w:rsidRPr="002542DE">
              <w:rPr>
                <w:sz w:val="22"/>
                <w:szCs w:val="22"/>
                <w:lang w:eastAsia="lv-LV"/>
              </w:rPr>
              <w:t> Noteikt izlīdzinātos izdevumus 2022. gadā  1 644 042 470  </w:t>
            </w:r>
            <w:proofErr w:type="spellStart"/>
            <w:r w:rsidRPr="002542DE">
              <w:rPr>
                <w:i/>
                <w:iCs/>
                <w:sz w:val="22"/>
                <w:szCs w:val="22"/>
                <w:lang w:eastAsia="lv-LV"/>
              </w:rPr>
              <w:t>euro</w:t>
            </w:r>
            <w:proofErr w:type="spellEnd"/>
            <w:r w:rsidRPr="002542DE">
              <w:rPr>
                <w:sz w:val="22"/>
                <w:szCs w:val="22"/>
                <w:lang w:eastAsia="lv-LV"/>
              </w:rPr>
              <w:t>, tajā skaitā Eiropas Savienības struktūrfondu un Kohēzijas fonda izlīdzinātos izdevumus 920 000 000 </w:t>
            </w:r>
            <w:proofErr w:type="spellStart"/>
            <w:r w:rsidRPr="002542DE">
              <w:rPr>
                <w:i/>
                <w:iCs/>
                <w:sz w:val="22"/>
                <w:szCs w:val="22"/>
                <w:lang w:eastAsia="lv-LV"/>
              </w:rPr>
              <w:t>euro</w:t>
            </w:r>
            <w:proofErr w:type="spellEnd"/>
            <w:r w:rsidRPr="002542DE">
              <w:rPr>
                <w:sz w:val="22"/>
                <w:szCs w:val="22"/>
                <w:lang w:eastAsia="lv-LV"/>
              </w:rPr>
              <w:t>, kopējās lauksaimniecības politikas un kopējās zivsaimniecības politikas izlīdzinātos izdevumus 558 165 786 </w:t>
            </w:r>
            <w:proofErr w:type="spellStart"/>
            <w:r w:rsidRPr="002542DE">
              <w:rPr>
                <w:i/>
                <w:iCs/>
                <w:sz w:val="22"/>
                <w:szCs w:val="22"/>
                <w:lang w:eastAsia="lv-LV"/>
              </w:rPr>
              <w:t>euro</w:t>
            </w:r>
            <w:proofErr w:type="spellEnd"/>
            <w:r w:rsidRPr="002542DE">
              <w:rPr>
                <w:sz w:val="22"/>
                <w:szCs w:val="22"/>
                <w:lang w:eastAsia="lv-LV"/>
              </w:rPr>
              <w:t> un valsts parāda apkalpošanas izlīdzinātos izdevumus  165 876 684  </w:t>
            </w:r>
            <w:proofErr w:type="spellStart"/>
            <w:r w:rsidRPr="002542DE">
              <w:rPr>
                <w:i/>
                <w:iCs/>
                <w:sz w:val="22"/>
                <w:szCs w:val="22"/>
                <w:lang w:eastAsia="lv-LV"/>
              </w:rPr>
              <w:t>euro</w:t>
            </w:r>
            <w:proofErr w:type="spellEnd"/>
            <w:r w:rsidRPr="002542DE">
              <w:rPr>
                <w:sz w:val="22"/>
                <w:szCs w:val="22"/>
                <w:lang w:eastAsia="lv-LV"/>
              </w:rPr>
              <w:t>.</w:t>
            </w:r>
          </w:p>
        </w:tc>
        <w:tc>
          <w:tcPr>
            <w:tcW w:w="644" w:type="dxa"/>
          </w:tcPr>
          <w:p w14:paraId="6F34AD83" w14:textId="77777777" w:rsidR="00B60EDA" w:rsidRPr="00D21B94" w:rsidRDefault="00B60EDA" w:rsidP="00EA09BE">
            <w:pPr>
              <w:jc w:val="center"/>
              <w:rPr>
                <w:b/>
                <w:sz w:val="22"/>
                <w:szCs w:val="22"/>
              </w:rPr>
            </w:pPr>
          </w:p>
        </w:tc>
        <w:tc>
          <w:tcPr>
            <w:tcW w:w="5168" w:type="dxa"/>
          </w:tcPr>
          <w:p w14:paraId="52F17F49" w14:textId="77777777" w:rsidR="00B60EDA" w:rsidRPr="001E02AA" w:rsidRDefault="00B60EDA" w:rsidP="001E02AA">
            <w:pPr>
              <w:ind w:firstLine="567"/>
              <w:jc w:val="both"/>
              <w:rPr>
                <w:b/>
                <w:sz w:val="22"/>
                <w:szCs w:val="22"/>
                <w:u w:val="single"/>
              </w:rPr>
            </w:pPr>
          </w:p>
        </w:tc>
        <w:tc>
          <w:tcPr>
            <w:tcW w:w="1451" w:type="dxa"/>
          </w:tcPr>
          <w:p w14:paraId="15AD07BC" w14:textId="77777777" w:rsidR="00B60EDA" w:rsidRPr="008C4B57" w:rsidRDefault="00B60EDA" w:rsidP="008C4B57">
            <w:pPr>
              <w:jc w:val="center"/>
              <w:rPr>
                <w:b/>
                <w:sz w:val="22"/>
                <w:szCs w:val="22"/>
              </w:rPr>
            </w:pPr>
          </w:p>
        </w:tc>
        <w:tc>
          <w:tcPr>
            <w:tcW w:w="1260" w:type="dxa"/>
          </w:tcPr>
          <w:p w14:paraId="2A0E8693" w14:textId="77777777" w:rsidR="00B60EDA" w:rsidRPr="008B6465" w:rsidRDefault="00B60EDA" w:rsidP="008B6465">
            <w:pPr>
              <w:jc w:val="both"/>
              <w:rPr>
                <w:sz w:val="22"/>
                <w:szCs w:val="22"/>
              </w:rPr>
            </w:pPr>
          </w:p>
        </w:tc>
      </w:tr>
      <w:tr w:rsidR="005C5FDC" w:rsidRPr="008B6465" w14:paraId="7942A258" w14:textId="77777777" w:rsidTr="005251F3">
        <w:tc>
          <w:tcPr>
            <w:tcW w:w="6516" w:type="dxa"/>
          </w:tcPr>
          <w:p w14:paraId="57C005C5"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t>9.</w:t>
            </w:r>
            <w:r w:rsidRPr="002542DE">
              <w:rPr>
                <w:sz w:val="22"/>
                <w:szCs w:val="22"/>
                <w:lang w:eastAsia="lv-LV"/>
              </w:rPr>
              <w:t> </w:t>
            </w:r>
            <w:r w:rsidRPr="002542DE">
              <w:rPr>
                <w:b/>
                <w:bCs/>
                <w:sz w:val="22"/>
                <w:szCs w:val="22"/>
                <w:lang w:eastAsia="lv-LV"/>
              </w:rPr>
              <w:t>pants.</w:t>
            </w:r>
          </w:p>
          <w:p w14:paraId="7CAA3CB1" w14:textId="77777777" w:rsidR="005C5FDC" w:rsidRPr="000847C0" w:rsidRDefault="00B62EC8" w:rsidP="0006720B">
            <w:pPr>
              <w:shd w:val="clear" w:color="auto" w:fill="FFFFFF"/>
              <w:ind w:firstLine="567"/>
              <w:jc w:val="both"/>
              <w:rPr>
                <w:sz w:val="22"/>
                <w:szCs w:val="22"/>
              </w:rPr>
            </w:pPr>
            <w:r w:rsidRPr="002542DE">
              <w:rPr>
                <w:sz w:val="22"/>
                <w:szCs w:val="22"/>
                <w:lang w:eastAsia="lv-LV"/>
              </w:rPr>
              <w:t> Noteikt izlīdzinātos izdevumus 2023. gadā  1 928 623 289  </w:t>
            </w:r>
            <w:proofErr w:type="spellStart"/>
            <w:r w:rsidRPr="002542DE">
              <w:rPr>
                <w:i/>
                <w:iCs/>
                <w:sz w:val="22"/>
                <w:szCs w:val="22"/>
                <w:lang w:eastAsia="lv-LV"/>
              </w:rPr>
              <w:t>euro</w:t>
            </w:r>
            <w:proofErr w:type="spellEnd"/>
            <w:r w:rsidRPr="002542DE">
              <w:rPr>
                <w:sz w:val="22"/>
                <w:szCs w:val="22"/>
                <w:lang w:eastAsia="lv-LV"/>
              </w:rPr>
              <w:t>, tajā skaitā Eiropas Savienības struktūrfondu un Kohēzijas fonda izlīdzinātos izdevumus 1 083 000 000 </w:t>
            </w:r>
            <w:proofErr w:type="spellStart"/>
            <w:r w:rsidRPr="002542DE">
              <w:rPr>
                <w:i/>
                <w:iCs/>
                <w:sz w:val="22"/>
                <w:szCs w:val="22"/>
                <w:lang w:eastAsia="lv-LV"/>
              </w:rPr>
              <w:t>euro</w:t>
            </w:r>
            <w:proofErr w:type="spellEnd"/>
            <w:r w:rsidRPr="002542DE">
              <w:rPr>
                <w:sz w:val="22"/>
                <w:szCs w:val="22"/>
                <w:lang w:eastAsia="lv-LV"/>
              </w:rPr>
              <w:t>, kopējās lauksaimniecības politikas un kopējās zivsaimniecības politikas izlīdzinātos izdevumus 642 369 606 </w:t>
            </w:r>
            <w:proofErr w:type="spellStart"/>
            <w:r w:rsidRPr="002542DE">
              <w:rPr>
                <w:i/>
                <w:iCs/>
                <w:sz w:val="22"/>
                <w:szCs w:val="22"/>
                <w:lang w:eastAsia="lv-LV"/>
              </w:rPr>
              <w:t>euro</w:t>
            </w:r>
            <w:proofErr w:type="spellEnd"/>
            <w:r w:rsidRPr="002542DE">
              <w:rPr>
                <w:sz w:val="22"/>
                <w:szCs w:val="22"/>
                <w:lang w:eastAsia="lv-LV"/>
              </w:rPr>
              <w:t> un valsts parāda apkalpošanas izlīdzinātos izdevumus  203 253 683  </w:t>
            </w:r>
            <w:proofErr w:type="spellStart"/>
            <w:r w:rsidRPr="002542DE">
              <w:rPr>
                <w:i/>
                <w:iCs/>
                <w:sz w:val="22"/>
                <w:szCs w:val="22"/>
                <w:lang w:eastAsia="lv-LV"/>
              </w:rPr>
              <w:t>euro</w:t>
            </w:r>
            <w:proofErr w:type="spellEnd"/>
            <w:r w:rsidRPr="002542DE">
              <w:rPr>
                <w:sz w:val="22"/>
                <w:szCs w:val="22"/>
                <w:lang w:eastAsia="lv-LV"/>
              </w:rPr>
              <w:t>.</w:t>
            </w:r>
          </w:p>
        </w:tc>
        <w:tc>
          <w:tcPr>
            <w:tcW w:w="644" w:type="dxa"/>
          </w:tcPr>
          <w:p w14:paraId="29E7423F" w14:textId="77777777" w:rsidR="00755475" w:rsidRPr="00D21B94" w:rsidRDefault="00755475" w:rsidP="00EA09BE">
            <w:pPr>
              <w:jc w:val="center"/>
              <w:rPr>
                <w:b/>
                <w:sz w:val="22"/>
                <w:szCs w:val="22"/>
              </w:rPr>
            </w:pPr>
          </w:p>
        </w:tc>
        <w:tc>
          <w:tcPr>
            <w:tcW w:w="5168" w:type="dxa"/>
          </w:tcPr>
          <w:p w14:paraId="27E52CC0" w14:textId="77777777" w:rsidR="00056CE7" w:rsidRPr="001E02AA" w:rsidRDefault="00056CE7" w:rsidP="001E02AA">
            <w:pPr>
              <w:ind w:firstLine="567"/>
              <w:jc w:val="both"/>
              <w:rPr>
                <w:sz w:val="22"/>
                <w:szCs w:val="22"/>
              </w:rPr>
            </w:pPr>
          </w:p>
        </w:tc>
        <w:tc>
          <w:tcPr>
            <w:tcW w:w="1451" w:type="dxa"/>
          </w:tcPr>
          <w:p w14:paraId="1DF28EA1" w14:textId="77777777" w:rsidR="00056CE7" w:rsidRPr="008C4B57" w:rsidRDefault="00056CE7" w:rsidP="00056CE7">
            <w:pPr>
              <w:jc w:val="center"/>
              <w:rPr>
                <w:b/>
                <w:sz w:val="22"/>
                <w:szCs w:val="22"/>
              </w:rPr>
            </w:pPr>
          </w:p>
        </w:tc>
        <w:tc>
          <w:tcPr>
            <w:tcW w:w="1260" w:type="dxa"/>
          </w:tcPr>
          <w:p w14:paraId="7D5677E6" w14:textId="77777777" w:rsidR="005C5FDC" w:rsidRPr="008B6465" w:rsidRDefault="005C5FDC" w:rsidP="008B6465">
            <w:pPr>
              <w:jc w:val="both"/>
              <w:rPr>
                <w:sz w:val="22"/>
                <w:szCs w:val="22"/>
              </w:rPr>
            </w:pPr>
          </w:p>
        </w:tc>
      </w:tr>
      <w:tr w:rsidR="00B60EDA" w:rsidRPr="008B6465" w14:paraId="54D673F5" w14:textId="77777777" w:rsidTr="005251F3">
        <w:tc>
          <w:tcPr>
            <w:tcW w:w="6516" w:type="dxa"/>
          </w:tcPr>
          <w:p w14:paraId="0C5B0A79"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t>10.</w:t>
            </w:r>
            <w:r w:rsidRPr="002542DE">
              <w:rPr>
                <w:sz w:val="22"/>
                <w:szCs w:val="22"/>
                <w:lang w:eastAsia="lv-LV"/>
              </w:rPr>
              <w:t> </w:t>
            </w:r>
            <w:r w:rsidRPr="002542DE">
              <w:rPr>
                <w:b/>
                <w:bCs/>
                <w:sz w:val="22"/>
                <w:szCs w:val="22"/>
                <w:lang w:eastAsia="lv-LV"/>
              </w:rPr>
              <w:t>pants.</w:t>
            </w:r>
          </w:p>
          <w:p w14:paraId="1BAD8B37" w14:textId="77777777" w:rsidR="00B60EDA" w:rsidRPr="000847C0" w:rsidRDefault="00B62EC8" w:rsidP="0006720B">
            <w:pPr>
              <w:shd w:val="clear" w:color="auto" w:fill="FFFFFF"/>
              <w:ind w:firstLine="567"/>
              <w:jc w:val="both"/>
              <w:rPr>
                <w:b/>
                <w:bCs/>
                <w:color w:val="000000"/>
                <w:sz w:val="22"/>
                <w:szCs w:val="22"/>
              </w:rPr>
            </w:pPr>
            <w:r w:rsidRPr="002542DE">
              <w:rPr>
                <w:sz w:val="22"/>
                <w:szCs w:val="22"/>
                <w:lang w:eastAsia="lv-LV"/>
              </w:rPr>
              <w:t> Noteikt izlīdzinātos izdevumus 2024. gadā  1 908 968 038  </w:t>
            </w:r>
            <w:proofErr w:type="spellStart"/>
            <w:r w:rsidRPr="002542DE">
              <w:rPr>
                <w:i/>
                <w:iCs/>
                <w:sz w:val="22"/>
                <w:szCs w:val="22"/>
                <w:lang w:eastAsia="lv-LV"/>
              </w:rPr>
              <w:t>euro</w:t>
            </w:r>
            <w:proofErr w:type="spellEnd"/>
            <w:r w:rsidRPr="002542DE">
              <w:rPr>
                <w:sz w:val="22"/>
                <w:szCs w:val="22"/>
                <w:lang w:eastAsia="lv-LV"/>
              </w:rPr>
              <w:t>, tajā skaitā Eiropas Savienības struktūrfondu un Kohēzijas fonda izlīdzinātos izdevumus 1 057 707 273 </w:t>
            </w:r>
            <w:proofErr w:type="spellStart"/>
            <w:r w:rsidRPr="002542DE">
              <w:rPr>
                <w:i/>
                <w:iCs/>
                <w:sz w:val="22"/>
                <w:szCs w:val="22"/>
                <w:lang w:eastAsia="lv-LV"/>
              </w:rPr>
              <w:t>euro</w:t>
            </w:r>
            <w:proofErr w:type="spellEnd"/>
            <w:r w:rsidRPr="002542DE">
              <w:rPr>
                <w:sz w:val="22"/>
                <w:szCs w:val="22"/>
                <w:lang w:eastAsia="lv-LV"/>
              </w:rPr>
              <w:t>, kopējās lauksaimniecības politikas un kopējās zivsaimniecības politikas izlīdzinātos izdevumus 646 708 425 </w:t>
            </w:r>
            <w:proofErr w:type="spellStart"/>
            <w:r w:rsidRPr="002542DE">
              <w:rPr>
                <w:i/>
                <w:iCs/>
                <w:sz w:val="22"/>
                <w:szCs w:val="22"/>
                <w:lang w:eastAsia="lv-LV"/>
              </w:rPr>
              <w:t>euro</w:t>
            </w:r>
            <w:proofErr w:type="spellEnd"/>
            <w:r w:rsidRPr="002542DE">
              <w:rPr>
                <w:sz w:val="22"/>
                <w:szCs w:val="22"/>
                <w:lang w:eastAsia="lv-LV"/>
              </w:rPr>
              <w:t> un valsts parāda apkalpošanas izlīdzinātos izdevumus  204 552 340  </w:t>
            </w:r>
            <w:proofErr w:type="spellStart"/>
            <w:r w:rsidRPr="002542DE">
              <w:rPr>
                <w:i/>
                <w:iCs/>
                <w:sz w:val="22"/>
                <w:szCs w:val="22"/>
                <w:lang w:eastAsia="lv-LV"/>
              </w:rPr>
              <w:t>euro</w:t>
            </w:r>
            <w:proofErr w:type="spellEnd"/>
            <w:r w:rsidRPr="002542DE">
              <w:rPr>
                <w:sz w:val="22"/>
                <w:szCs w:val="22"/>
                <w:lang w:eastAsia="lv-LV"/>
              </w:rPr>
              <w:t>.</w:t>
            </w:r>
          </w:p>
        </w:tc>
        <w:tc>
          <w:tcPr>
            <w:tcW w:w="644" w:type="dxa"/>
          </w:tcPr>
          <w:p w14:paraId="6BC28CDA" w14:textId="77777777" w:rsidR="00B60EDA" w:rsidRPr="00D21B94" w:rsidRDefault="00B60EDA" w:rsidP="00EA09BE">
            <w:pPr>
              <w:jc w:val="center"/>
              <w:rPr>
                <w:b/>
                <w:sz w:val="22"/>
                <w:szCs w:val="22"/>
              </w:rPr>
            </w:pPr>
          </w:p>
        </w:tc>
        <w:tc>
          <w:tcPr>
            <w:tcW w:w="5168" w:type="dxa"/>
          </w:tcPr>
          <w:p w14:paraId="21A2792A" w14:textId="77777777" w:rsidR="00B60EDA" w:rsidRPr="001E02AA" w:rsidRDefault="00B60EDA" w:rsidP="001E02AA">
            <w:pPr>
              <w:ind w:firstLine="567"/>
              <w:jc w:val="both"/>
              <w:rPr>
                <w:b/>
                <w:i/>
                <w:sz w:val="22"/>
                <w:szCs w:val="22"/>
                <w:u w:val="single"/>
              </w:rPr>
            </w:pPr>
          </w:p>
        </w:tc>
        <w:tc>
          <w:tcPr>
            <w:tcW w:w="1451" w:type="dxa"/>
          </w:tcPr>
          <w:p w14:paraId="710EFE5F" w14:textId="77777777" w:rsidR="00B60EDA" w:rsidRPr="008C4B57" w:rsidRDefault="00B60EDA" w:rsidP="008C4B57">
            <w:pPr>
              <w:jc w:val="center"/>
              <w:rPr>
                <w:b/>
                <w:sz w:val="22"/>
                <w:szCs w:val="22"/>
              </w:rPr>
            </w:pPr>
          </w:p>
        </w:tc>
        <w:tc>
          <w:tcPr>
            <w:tcW w:w="1260" w:type="dxa"/>
          </w:tcPr>
          <w:p w14:paraId="6741729A" w14:textId="77777777" w:rsidR="00B60EDA" w:rsidRPr="008B6465" w:rsidRDefault="00B60EDA" w:rsidP="008B6465">
            <w:pPr>
              <w:jc w:val="both"/>
              <w:rPr>
                <w:sz w:val="22"/>
                <w:szCs w:val="22"/>
              </w:rPr>
            </w:pPr>
          </w:p>
        </w:tc>
      </w:tr>
      <w:tr w:rsidR="00293B17" w:rsidRPr="008B6465" w14:paraId="492262FB" w14:textId="77777777" w:rsidTr="005251F3">
        <w:tc>
          <w:tcPr>
            <w:tcW w:w="6516" w:type="dxa"/>
          </w:tcPr>
          <w:p w14:paraId="422B5B11"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t>11.</w:t>
            </w:r>
            <w:r w:rsidRPr="002542DE">
              <w:rPr>
                <w:sz w:val="22"/>
                <w:szCs w:val="22"/>
                <w:lang w:eastAsia="lv-LV"/>
              </w:rPr>
              <w:t> </w:t>
            </w:r>
            <w:r w:rsidRPr="002542DE">
              <w:rPr>
                <w:b/>
                <w:bCs/>
                <w:sz w:val="22"/>
                <w:szCs w:val="22"/>
                <w:lang w:eastAsia="lv-LV"/>
              </w:rPr>
              <w:t>pants.</w:t>
            </w:r>
          </w:p>
          <w:p w14:paraId="14516595" w14:textId="77777777" w:rsidR="00293B17" w:rsidRPr="000847C0" w:rsidRDefault="00B62EC8" w:rsidP="0006720B">
            <w:pPr>
              <w:shd w:val="clear" w:color="auto" w:fill="FFFFFF"/>
              <w:ind w:firstLine="567"/>
              <w:jc w:val="both"/>
              <w:rPr>
                <w:b/>
                <w:bCs/>
                <w:color w:val="000000"/>
                <w:sz w:val="22"/>
                <w:szCs w:val="22"/>
              </w:rPr>
            </w:pPr>
            <w:r w:rsidRPr="002542DE">
              <w:rPr>
                <w:sz w:val="22"/>
                <w:szCs w:val="22"/>
                <w:lang w:eastAsia="lv-LV"/>
              </w:rPr>
              <w:t> Noteikt, ka fiskālā nodrošinājuma rezerve 2022., 2023. un 2024. gadam ir 0,1 procents no iekšzemes kopprodukta.</w:t>
            </w:r>
          </w:p>
        </w:tc>
        <w:tc>
          <w:tcPr>
            <w:tcW w:w="644" w:type="dxa"/>
          </w:tcPr>
          <w:p w14:paraId="11B2C6C5" w14:textId="77777777" w:rsidR="00CA3ADC" w:rsidRPr="00D21B94" w:rsidRDefault="00CA3ADC" w:rsidP="00EA09BE">
            <w:pPr>
              <w:jc w:val="center"/>
              <w:rPr>
                <w:b/>
                <w:sz w:val="22"/>
                <w:szCs w:val="22"/>
              </w:rPr>
            </w:pPr>
          </w:p>
        </w:tc>
        <w:tc>
          <w:tcPr>
            <w:tcW w:w="5168" w:type="dxa"/>
          </w:tcPr>
          <w:p w14:paraId="12802B8A" w14:textId="77777777" w:rsidR="00CC407E" w:rsidRPr="001E02AA" w:rsidRDefault="00CC407E" w:rsidP="001E02AA">
            <w:pPr>
              <w:ind w:firstLine="567"/>
              <w:jc w:val="both"/>
              <w:rPr>
                <w:b/>
                <w:sz w:val="22"/>
                <w:szCs w:val="22"/>
                <w:u w:val="single"/>
              </w:rPr>
            </w:pPr>
          </w:p>
        </w:tc>
        <w:tc>
          <w:tcPr>
            <w:tcW w:w="1451" w:type="dxa"/>
          </w:tcPr>
          <w:p w14:paraId="5A131AE8" w14:textId="77777777" w:rsidR="00293B17" w:rsidRPr="008C4B57" w:rsidRDefault="00293B17" w:rsidP="008C4B57">
            <w:pPr>
              <w:jc w:val="center"/>
              <w:rPr>
                <w:b/>
                <w:sz w:val="22"/>
                <w:szCs w:val="22"/>
              </w:rPr>
            </w:pPr>
          </w:p>
        </w:tc>
        <w:tc>
          <w:tcPr>
            <w:tcW w:w="1260" w:type="dxa"/>
          </w:tcPr>
          <w:p w14:paraId="29FC24F4" w14:textId="77777777" w:rsidR="00293B17" w:rsidRPr="008B6465" w:rsidRDefault="00293B17" w:rsidP="008B6465">
            <w:pPr>
              <w:jc w:val="both"/>
              <w:rPr>
                <w:sz w:val="22"/>
                <w:szCs w:val="22"/>
              </w:rPr>
            </w:pPr>
          </w:p>
        </w:tc>
      </w:tr>
      <w:tr w:rsidR="005C5FDC" w:rsidRPr="008B6465" w14:paraId="53D39BB7" w14:textId="77777777" w:rsidTr="005251F3">
        <w:tc>
          <w:tcPr>
            <w:tcW w:w="6516" w:type="dxa"/>
          </w:tcPr>
          <w:p w14:paraId="473C15D1"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lastRenderedPageBreak/>
              <w:t>12.</w:t>
            </w:r>
            <w:r w:rsidRPr="002542DE">
              <w:rPr>
                <w:sz w:val="22"/>
                <w:szCs w:val="22"/>
                <w:lang w:eastAsia="lv-LV"/>
              </w:rPr>
              <w:t> </w:t>
            </w:r>
            <w:r w:rsidRPr="002542DE">
              <w:rPr>
                <w:b/>
                <w:bCs/>
                <w:sz w:val="22"/>
                <w:szCs w:val="22"/>
                <w:lang w:eastAsia="lv-LV"/>
              </w:rPr>
              <w:t>pants.</w:t>
            </w:r>
          </w:p>
          <w:p w14:paraId="671DDC93" w14:textId="77777777" w:rsidR="005C5FDC" w:rsidRPr="000847C0" w:rsidRDefault="00B62EC8" w:rsidP="0006720B">
            <w:pPr>
              <w:shd w:val="clear" w:color="auto" w:fill="FFFFFF"/>
              <w:ind w:firstLine="567"/>
              <w:jc w:val="both"/>
              <w:rPr>
                <w:sz w:val="22"/>
                <w:szCs w:val="22"/>
              </w:rPr>
            </w:pPr>
            <w:r w:rsidRPr="002542DE">
              <w:rPr>
                <w:sz w:val="22"/>
                <w:szCs w:val="22"/>
                <w:lang w:eastAsia="lv-LV"/>
              </w:rPr>
              <w:t> Noteikt koriģētos maksimāli pieļaujamos valsts budžeta izdevumus 2022. gadā 10 796 307 974 </w:t>
            </w:r>
            <w:proofErr w:type="spellStart"/>
            <w:r w:rsidRPr="002542DE">
              <w:rPr>
                <w:i/>
                <w:iCs/>
                <w:sz w:val="22"/>
                <w:szCs w:val="22"/>
                <w:lang w:eastAsia="lv-LV"/>
              </w:rPr>
              <w:t>euro</w:t>
            </w:r>
            <w:proofErr w:type="spellEnd"/>
            <w:r w:rsidRPr="002542DE">
              <w:rPr>
                <w:sz w:val="22"/>
                <w:szCs w:val="22"/>
                <w:lang w:eastAsia="lv-LV"/>
              </w:rPr>
              <w:t>, 2023. gadā 10 184 379 082 </w:t>
            </w:r>
            <w:proofErr w:type="spellStart"/>
            <w:r w:rsidRPr="002542DE">
              <w:rPr>
                <w:i/>
                <w:iCs/>
                <w:sz w:val="22"/>
                <w:szCs w:val="22"/>
                <w:lang w:eastAsia="lv-LV"/>
              </w:rPr>
              <w:t>euro</w:t>
            </w:r>
            <w:proofErr w:type="spellEnd"/>
            <w:r w:rsidRPr="002542DE">
              <w:rPr>
                <w:sz w:val="22"/>
                <w:szCs w:val="22"/>
                <w:lang w:eastAsia="lv-LV"/>
              </w:rPr>
              <w:t> un 2024. gadā 10 442 299 740 </w:t>
            </w:r>
            <w:proofErr w:type="spellStart"/>
            <w:r w:rsidRPr="002542DE">
              <w:rPr>
                <w:i/>
                <w:iCs/>
                <w:sz w:val="22"/>
                <w:szCs w:val="22"/>
                <w:lang w:eastAsia="lv-LV"/>
              </w:rPr>
              <w:t>euro</w:t>
            </w:r>
            <w:proofErr w:type="spellEnd"/>
            <w:r w:rsidRPr="002542DE">
              <w:rPr>
                <w:sz w:val="22"/>
                <w:szCs w:val="22"/>
                <w:lang w:eastAsia="lv-LV"/>
              </w:rPr>
              <w:t>.</w:t>
            </w:r>
          </w:p>
        </w:tc>
        <w:tc>
          <w:tcPr>
            <w:tcW w:w="644" w:type="dxa"/>
          </w:tcPr>
          <w:p w14:paraId="7FA3D195" w14:textId="77777777" w:rsidR="00CA3ADC" w:rsidRPr="00D21B94" w:rsidRDefault="00CA3ADC" w:rsidP="00EA09BE">
            <w:pPr>
              <w:jc w:val="center"/>
              <w:rPr>
                <w:b/>
                <w:sz w:val="22"/>
                <w:szCs w:val="22"/>
              </w:rPr>
            </w:pPr>
          </w:p>
        </w:tc>
        <w:tc>
          <w:tcPr>
            <w:tcW w:w="5168" w:type="dxa"/>
          </w:tcPr>
          <w:p w14:paraId="4AAC4DB2" w14:textId="77777777" w:rsidR="00D507D8" w:rsidRPr="001E02AA" w:rsidRDefault="00D507D8" w:rsidP="001E02AA">
            <w:pPr>
              <w:ind w:firstLine="567"/>
              <w:jc w:val="both"/>
              <w:rPr>
                <w:color w:val="000000"/>
                <w:sz w:val="22"/>
                <w:szCs w:val="22"/>
              </w:rPr>
            </w:pPr>
          </w:p>
        </w:tc>
        <w:tc>
          <w:tcPr>
            <w:tcW w:w="1451" w:type="dxa"/>
          </w:tcPr>
          <w:p w14:paraId="4F2D7636" w14:textId="77777777" w:rsidR="00D507D8" w:rsidRPr="008C4B57" w:rsidRDefault="00D507D8" w:rsidP="008C4B57">
            <w:pPr>
              <w:jc w:val="center"/>
              <w:rPr>
                <w:b/>
                <w:sz w:val="22"/>
                <w:szCs w:val="22"/>
              </w:rPr>
            </w:pPr>
          </w:p>
        </w:tc>
        <w:tc>
          <w:tcPr>
            <w:tcW w:w="1260" w:type="dxa"/>
          </w:tcPr>
          <w:p w14:paraId="1E1CD993" w14:textId="77777777" w:rsidR="005C5FDC" w:rsidRPr="008B6465" w:rsidRDefault="005C5FDC" w:rsidP="008B6465">
            <w:pPr>
              <w:jc w:val="both"/>
              <w:rPr>
                <w:sz w:val="22"/>
                <w:szCs w:val="22"/>
              </w:rPr>
            </w:pPr>
          </w:p>
        </w:tc>
      </w:tr>
      <w:tr w:rsidR="009E5B2C" w:rsidRPr="008B6465" w14:paraId="340BCEDD" w14:textId="77777777" w:rsidTr="005251F3">
        <w:tc>
          <w:tcPr>
            <w:tcW w:w="6516" w:type="dxa"/>
          </w:tcPr>
          <w:p w14:paraId="7809A7F9"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t>13.</w:t>
            </w:r>
            <w:r w:rsidRPr="002542DE">
              <w:rPr>
                <w:sz w:val="22"/>
                <w:szCs w:val="22"/>
                <w:lang w:eastAsia="lv-LV"/>
              </w:rPr>
              <w:t> </w:t>
            </w:r>
            <w:r w:rsidRPr="002542DE">
              <w:rPr>
                <w:b/>
                <w:bCs/>
                <w:sz w:val="22"/>
                <w:szCs w:val="22"/>
                <w:lang w:eastAsia="lv-LV"/>
              </w:rPr>
              <w:t>pants.</w:t>
            </w:r>
          </w:p>
          <w:p w14:paraId="257DFC43" w14:textId="77777777" w:rsidR="009E5B2C" w:rsidRPr="000847C0" w:rsidRDefault="00B62EC8" w:rsidP="0006720B">
            <w:pPr>
              <w:shd w:val="clear" w:color="auto" w:fill="FFFFFF"/>
              <w:ind w:firstLine="567"/>
              <w:jc w:val="both"/>
              <w:rPr>
                <w:b/>
                <w:bCs/>
                <w:color w:val="000000" w:themeColor="text1"/>
                <w:sz w:val="22"/>
                <w:szCs w:val="22"/>
              </w:rPr>
            </w:pPr>
            <w:r w:rsidRPr="002542DE">
              <w:rPr>
                <w:sz w:val="22"/>
                <w:szCs w:val="22"/>
                <w:lang w:eastAsia="lv-LV"/>
              </w:rPr>
              <w:t> Noteikt maksimāli pieļaujamo valsts budžeta kopējo izdevumu apjomu katrai ministrijai un citai centrālajai valsts iestādei 2022., 2023. un 2024. gadam saskaņā ar šā likuma 3. pielikumu.</w:t>
            </w:r>
          </w:p>
        </w:tc>
        <w:tc>
          <w:tcPr>
            <w:tcW w:w="644" w:type="dxa"/>
          </w:tcPr>
          <w:p w14:paraId="6D43531B" w14:textId="77777777" w:rsidR="009E5B2C" w:rsidRPr="00D21B94" w:rsidRDefault="009E5B2C" w:rsidP="00EA09BE">
            <w:pPr>
              <w:jc w:val="center"/>
              <w:rPr>
                <w:b/>
                <w:sz w:val="22"/>
                <w:szCs w:val="22"/>
              </w:rPr>
            </w:pPr>
          </w:p>
        </w:tc>
        <w:tc>
          <w:tcPr>
            <w:tcW w:w="5168" w:type="dxa"/>
          </w:tcPr>
          <w:p w14:paraId="4AD81890" w14:textId="77777777" w:rsidR="009E5B2C" w:rsidRPr="001E02AA" w:rsidRDefault="009E5B2C" w:rsidP="001E02AA">
            <w:pPr>
              <w:ind w:firstLine="567"/>
              <w:jc w:val="both"/>
              <w:rPr>
                <w:color w:val="000000"/>
                <w:sz w:val="22"/>
                <w:szCs w:val="22"/>
              </w:rPr>
            </w:pPr>
          </w:p>
        </w:tc>
        <w:tc>
          <w:tcPr>
            <w:tcW w:w="1451" w:type="dxa"/>
          </w:tcPr>
          <w:p w14:paraId="5F331990" w14:textId="77777777" w:rsidR="009E5B2C" w:rsidRPr="008C4B57" w:rsidRDefault="009E5B2C" w:rsidP="002C6FAE">
            <w:pPr>
              <w:jc w:val="center"/>
              <w:rPr>
                <w:b/>
                <w:sz w:val="22"/>
                <w:szCs w:val="22"/>
              </w:rPr>
            </w:pPr>
          </w:p>
        </w:tc>
        <w:tc>
          <w:tcPr>
            <w:tcW w:w="1260" w:type="dxa"/>
          </w:tcPr>
          <w:p w14:paraId="46688D91" w14:textId="77777777" w:rsidR="009E5B2C" w:rsidRPr="008B6465" w:rsidRDefault="009E5B2C" w:rsidP="008B6465">
            <w:pPr>
              <w:jc w:val="both"/>
              <w:rPr>
                <w:sz w:val="22"/>
                <w:szCs w:val="22"/>
              </w:rPr>
            </w:pPr>
          </w:p>
        </w:tc>
      </w:tr>
      <w:tr w:rsidR="005C5FDC" w:rsidRPr="008B6465" w14:paraId="706DEDD9" w14:textId="77777777" w:rsidTr="005251F3">
        <w:tc>
          <w:tcPr>
            <w:tcW w:w="6516" w:type="dxa"/>
          </w:tcPr>
          <w:p w14:paraId="440BD04C" w14:textId="77777777" w:rsidR="00B62EC8" w:rsidRPr="002542DE" w:rsidRDefault="00B62EC8" w:rsidP="0006720B">
            <w:pPr>
              <w:shd w:val="clear" w:color="auto" w:fill="FFFFFF"/>
              <w:ind w:firstLine="567"/>
              <w:jc w:val="both"/>
              <w:rPr>
                <w:sz w:val="22"/>
                <w:szCs w:val="22"/>
                <w:lang w:eastAsia="lv-LV"/>
              </w:rPr>
            </w:pPr>
            <w:r w:rsidRPr="002542DE">
              <w:rPr>
                <w:b/>
                <w:bCs/>
                <w:sz w:val="22"/>
                <w:szCs w:val="22"/>
                <w:lang w:eastAsia="lv-LV"/>
              </w:rPr>
              <w:t>14.</w:t>
            </w:r>
            <w:r w:rsidRPr="002542DE">
              <w:rPr>
                <w:sz w:val="22"/>
                <w:szCs w:val="22"/>
                <w:lang w:eastAsia="lv-LV"/>
              </w:rPr>
              <w:t> </w:t>
            </w:r>
            <w:r w:rsidRPr="002542DE">
              <w:rPr>
                <w:b/>
                <w:bCs/>
                <w:sz w:val="22"/>
                <w:szCs w:val="22"/>
                <w:lang w:eastAsia="lv-LV"/>
              </w:rPr>
              <w:t>pants.</w:t>
            </w:r>
          </w:p>
          <w:p w14:paraId="1442CF8D" w14:textId="77777777" w:rsidR="005C5FDC" w:rsidRPr="000847C0" w:rsidRDefault="00B62EC8" w:rsidP="0006720B">
            <w:pPr>
              <w:shd w:val="clear" w:color="auto" w:fill="FFFFFF"/>
              <w:ind w:firstLine="567"/>
              <w:jc w:val="both"/>
              <w:rPr>
                <w:sz w:val="22"/>
                <w:szCs w:val="22"/>
              </w:rPr>
            </w:pPr>
            <w:r w:rsidRPr="002542DE">
              <w:rPr>
                <w:sz w:val="22"/>
                <w:szCs w:val="22"/>
                <w:lang w:eastAsia="lv-LV"/>
              </w:rPr>
              <w:t> Ikgadējais pašvaldību kopējais aizņēmumu pieļaujamais palielinājums 2022. gadā ir 188 138 258  </w:t>
            </w:r>
            <w:proofErr w:type="spellStart"/>
            <w:r w:rsidRPr="002542DE">
              <w:rPr>
                <w:i/>
                <w:iCs/>
                <w:sz w:val="22"/>
                <w:szCs w:val="22"/>
                <w:lang w:eastAsia="lv-LV"/>
              </w:rPr>
              <w:t>euro</w:t>
            </w:r>
            <w:proofErr w:type="spellEnd"/>
            <w:r w:rsidRPr="002542DE">
              <w:rPr>
                <w:sz w:val="22"/>
                <w:szCs w:val="22"/>
                <w:lang w:eastAsia="lv-LV"/>
              </w:rPr>
              <w:t>. 2023. un 2024. gadā kopējais ikgadējais aizņēmumu pieļaujamais palielinājums ir 118 138 258 </w:t>
            </w:r>
            <w:proofErr w:type="spellStart"/>
            <w:r w:rsidRPr="002542DE">
              <w:rPr>
                <w:i/>
                <w:iCs/>
                <w:sz w:val="22"/>
                <w:szCs w:val="22"/>
                <w:lang w:eastAsia="lv-LV"/>
              </w:rPr>
              <w:t>euro</w:t>
            </w:r>
            <w:proofErr w:type="spellEnd"/>
            <w:r w:rsidRPr="002542DE">
              <w:rPr>
                <w:sz w:val="22"/>
                <w:szCs w:val="22"/>
                <w:lang w:eastAsia="lv-LV"/>
              </w:rPr>
              <w:t>. Sagatavojot likumu par valsts budžetu 2023. gadam un likumu par vidēja termiņa budžeta ietvaru 2023., 2024. un 2025. gadam, kopējais aizņēmumu pieļaujamais palielinājums tiek precizēts. Noteikt, ka 2022., 2023. un 2024. gadam galvenā aizņēmumu prioritāte ir aizņēmumi Eiropas Savienības un pārējās ārvalstu finanšu palīdzības finansēto projektu īstenošanai, aizņēmumi jaunas pirmsskolas izglītības iestādes būvniecībai vai esošas pirmsskolas izglītības iestādes paplašināšanai, lai mazinātu pašvaldībā reģistrēto bērnu rindu uz vietām pirmsskolas izglītības iestādēs.</w:t>
            </w:r>
          </w:p>
        </w:tc>
        <w:tc>
          <w:tcPr>
            <w:tcW w:w="644" w:type="dxa"/>
          </w:tcPr>
          <w:p w14:paraId="622102D4" w14:textId="77777777" w:rsidR="00E531A9" w:rsidRPr="00D21B94" w:rsidRDefault="00E531A9" w:rsidP="00EA09BE">
            <w:pPr>
              <w:jc w:val="center"/>
              <w:rPr>
                <w:b/>
                <w:sz w:val="22"/>
                <w:szCs w:val="22"/>
              </w:rPr>
            </w:pPr>
          </w:p>
        </w:tc>
        <w:tc>
          <w:tcPr>
            <w:tcW w:w="5168" w:type="dxa"/>
          </w:tcPr>
          <w:p w14:paraId="2776581B" w14:textId="77777777" w:rsidR="00E531A9" w:rsidRPr="001E02AA" w:rsidRDefault="00E531A9" w:rsidP="001E02AA">
            <w:pPr>
              <w:ind w:firstLine="567"/>
              <w:jc w:val="both"/>
              <w:rPr>
                <w:color w:val="000000"/>
                <w:sz w:val="22"/>
                <w:szCs w:val="22"/>
              </w:rPr>
            </w:pPr>
          </w:p>
        </w:tc>
        <w:tc>
          <w:tcPr>
            <w:tcW w:w="1451" w:type="dxa"/>
          </w:tcPr>
          <w:p w14:paraId="021EDC87" w14:textId="77777777" w:rsidR="00E531A9" w:rsidRPr="008C4B57" w:rsidRDefault="00E531A9" w:rsidP="002C6FAE">
            <w:pPr>
              <w:jc w:val="center"/>
              <w:rPr>
                <w:b/>
                <w:sz w:val="22"/>
                <w:szCs w:val="22"/>
              </w:rPr>
            </w:pPr>
          </w:p>
        </w:tc>
        <w:tc>
          <w:tcPr>
            <w:tcW w:w="1260" w:type="dxa"/>
          </w:tcPr>
          <w:p w14:paraId="74FEDCEA" w14:textId="77777777" w:rsidR="005C5FDC" w:rsidRPr="008B6465" w:rsidRDefault="005C5FDC" w:rsidP="008B6465">
            <w:pPr>
              <w:jc w:val="both"/>
              <w:rPr>
                <w:sz w:val="22"/>
                <w:szCs w:val="22"/>
              </w:rPr>
            </w:pPr>
          </w:p>
        </w:tc>
      </w:tr>
      <w:tr w:rsidR="005C5FDC" w:rsidRPr="008B6465" w14:paraId="18E31855" w14:textId="77777777" w:rsidTr="005251F3">
        <w:tc>
          <w:tcPr>
            <w:tcW w:w="6516" w:type="dxa"/>
          </w:tcPr>
          <w:p w14:paraId="444AA3E1" w14:textId="77777777" w:rsidR="001D57BD" w:rsidRPr="002542DE" w:rsidRDefault="001D57BD" w:rsidP="0006720B">
            <w:pPr>
              <w:shd w:val="clear" w:color="auto" w:fill="FFFFFF"/>
              <w:ind w:firstLine="567"/>
              <w:jc w:val="both"/>
              <w:rPr>
                <w:sz w:val="22"/>
                <w:szCs w:val="22"/>
                <w:lang w:eastAsia="lv-LV"/>
              </w:rPr>
            </w:pPr>
            <w:r w:rsidRPr="002542DE">
              <w:rPr>
                <w:b/>
                <w:bCs/>
                <w:sz w:val="22"/>
                <w:szCs w:val="22"/>
                <w:lang w:eastAsia="lv-LV"/>
              </w:rPr>
              <w:t>15.</w:t>
            </w:r>
            <w:r w:rsidRPr="002542DE">
              <w:rPr>
                <w:sz w:val="22"/>
                <w:szCs w:val="22"/>
                <w:lang w:eastAsia="lv-LV"/>
              </w:rPr>
              <w:t> </w:t>
            </w:r>
            <w:r w:rsidRPr="002542DE">
              <w:rPr>
                <w:b/>
                <w:bCs/>
                <w:sz w:val="22"/>
                <w:szCs w:val="22"/>
                <w:lang w:eastAsia="lv-LV"/>
              </w:rPr>
              <w:t>pants.</w:t>
            </w:r>
          </w:p>
          <w:p w14:paraId="7E7DC6ED" w14:textId="77777777" w:rsidR="005C5FDC" w:rsidRPr="000847C0" w:rsidRDefault="001D57BD" w:rsidP="0006720B">
            <w:pPr>
              <w:shd w:val="clear" w:color="auto" w:fill="FFFFFF"/>
              <w:ind w:firstLine="567"/>
              <w:jc w:val="both"/>
              <w:rPr>
                <w:sz w:val="22"/>
                <w:szCs w:val="22"/>
              </w:rPr>
            </w:pPr>
            <w:r w:rsidRPr="002542DE">
              <w:rPr>
                <w:sz w:val="22"/>
                <w:szCs w:val="22"/>
                <w:lang w:eastAsia="lv-LV"/>
              </w:rPr>
              <w:t> Noteikt, ka iedzīvotāju ienākuma nodokļa ieņēmumu sadalījums starp valsts budžetu un pašvaldību budžetiem 2022., 2023. un 2024. gadā ir šāds: pašvaldību budžetiem — 75 procenti un valsts budžetam — 25 procenti.</w:t>
            </w:r>
          </w:p>
        </w:tc>
        <w:tc>
          <w:tcPr>
            <w:tcW w:w="644" w:type="dxa"/>
          </w:tcPr>
          <w:p w14:paraId="3A456A49" w14:textId="77777777" w:rsidR="00410DD4" w:rsidRDefault="00991B8C" w:rsidP="00EA09BE">
            <w:pPr>
              <w:jc w:val="center"/>
              <w:rPr>
                <w:b/>
                <w:sz w:val="22"/>
                <w:szCs w:val="22"/>
              </w:rPr>
            </w:pPr>
            <w:r>
              <w:rPr>
                <w:b/>
                <w:sz w:val="22"/>
                <w:szCs w:val="22"/>
              </w:rPr>
              <w:t>1</w:t>
            </w:r>
          </w:p>
          <w:p w14:paraId="140B337C" w14:textId="77777777" w:rsidR="00F578B2" w:rsidRDefault="00F578B2" w:rsidP="00EA09BE">
            <w:pPr>
              <w:jc w:val="center"/>
              <w:rPr>
                <w:b/>
                <w:sz w:val="22"/>
                <w:szCs w:val="22"/>
              </w:rPr>
            </w:pPr>
          </w:p>
          <w:p w14:paraId="0CC2E209" w14:textId="77777777" w:rsidR="00F578B2" w:rsidRDefault="00F578B2" w:rsidP="00EA09BE">
            <w:pPr>
              <w:jc w:val="center"/>
              <w:rPr>
                <w:b/>
                <w:sz w:val="22"/>
                <w:szCs w:val="22"/>
              </w:rPr>
            </w:pPr>
          </w:p>
          <w:p w14:paraId="2B661969" w14:textId="77777777" w:rsidR="00F578B2" w:rsidRDefault="00F578B2" w:rsidP="00EA09BE">
            <w:pPr>
              <w:jc w:val="center"/>
              <w:rPr>
                <w:b/>
                <w:sz w:val="22"/>
                <w:szCs w:val="22"/>
              </w:rPr>
            </w:pPr>
          </w:p>
          <w:p w14:paraId="06E99615" w14:textId="77777777" w:rsidR="00F578B2" w:rsidRDefault="00F578B2" w:rsidP="00EA09BE">
            <w:pPr>
              <w:jc w:val="center"/>
              <w:rPr>
                <w:b/>
                <w:sz w:val="22"/>
                <w:szCs w:val="22"/>
              </w:rPr>
            </w:pPr>
          </w:p>
          <w:p w14:paraId="4A2F5B4D" w14:textId="77777777" w:rsidR="00F578B2" w:rsidRDefault="00F578B2" w:rsidP="00EA09BE">
            <w:pPr>
              <w:jc w:val="center"/>
              <w:rPr>
                <w:b/>
                <w:sz w:val="22"/>
                <w:szCs w:val="22"/>
              </w:rPr>
            </w:pPr>
          </w:p>
          <w:p w14:paraId="15CE713E" w14:textId="77777777" w:rsidR="00F578B2" w:rsidRDefault="00F578B2" w:rsidP="00EA09BE">
            <w:pPr>
              <w:jc w:val="center"/>
              <w:rPr>
                <w:b/>
                <w:sz w:val="22"/>
                <w:szCs w:val="22"/>
              </w:rPr>
            </w:pPr>
          </w:p>
          <w:p w14:paraId="2BDB09F4" w14:textId="77777777" w:rsidR="00F578B2" w:rsidRDefault="00F578B2" w:rsidP="00EA09BE">
            <w:pPr>
              <w:jc w:val="center"/>
              <w:rPr>
                <w:b/>
                <w:sz w:val="22"/>
                <w:szCs w:val="22"/>
              </w:rPr>
            </w:pPr>
          </w:p>
          <w:p w14:paraId="0D19927C" w14:textId="77777777" w:rsidR="00F578B2" w:rsidRDefault="00F578B2" w:rsidP="00EA09BE">
            <w:pPr>
              <w:jc w:val="center"/>
              <w:rPr>
                <w:b/>
                <w:sz w:val="22"/>
                <w:szCs w:val="22"/>
              </w:rPr>
            </w:pPr>
          </w:p>
          <w:p w14:paraId="29156568" w14:textId="77777777" w:rsidR="00F578B2" w:rsidRPr="00D21B94" w:rsidRDefault="00F578B2" w:rsidP="00EA09BE">
            <w:pPr>
              <w:jc w:val="center"/>
              <w:rPr>
                <w:b/>
                <w:sz w:val="22"/>
                <w:szCs w:val="22"/>
              </w:rPr>
            </w:pPr>
            <w:r>
              <w:rPr>
                <w:b/>
                <w:sz w:val="22"/>
                <w:szCs w:val="22"/>
              </w:rPr>
              <w:t>2</w:t>
            </w:r>
          </w:p>
        </w:tc>
        <w:tc>
          <w:tcPr>
            <w:tcW w:w="5168" w:type="dxa"/>
          </w:tcPr>
          <w:p w14:paraId="34E00FC3" w14:textId="77777777" w:rsidR="003C56E5" w:rsidRPr="003C56E5" w:rsidRDefault="003C56E5" w:rsidP="003C56E5">
            <w:pPr>
              <w:ind w:firstLine="567"/>
              <w:jc w:val="both"/>
              <w:rPr>
                <w:b/>
                <w:sz w:val="22"/>
                <w:szCs w:val="22"/>
                <w:u w:val="single"/>
              </w:rPr>
            </w:pPr>
            <w:r w:rsidRPr="003C56E5">
              <w:rPr>
                <w:b/>
                <w:sz w:val="22"/>
                <w:szCs w:val="22"/>
                <w:u w:val="single"/>
              </w:rPr>
              <w:t xml:space="preserve">Deputāti </w:t>
            </w:r>
            <w:proofErr w:type="spellStart"/>
            <w:r w:rsidRPr="003C56E5">
              <w:rPr>
                <w:b/>
                <w:sz w:val="22"/>
                <w:szCs w:val="22"/>
                <w:u w:val="single"/>
              </w:rPr>
              <w:t>V.Dombrovskis</w:t>
            </w:r>
            <w:proofErr w:type="spellEnd"/>
            <w:r w:rsidRPr="003C56E5">
              <w:rPr>
                <w:b/>
                <w:sz w:val="22"/>
                <w:szCs w:val="22"/>
                <w:u w:val="single"/>
              </w:rPr>
              <w:t xml:space="preserve">, </w:t>
            </w:r>
            <w:proofErr w:type="spellStart"/>
            <w:r w:rsidRPr="003C56E5">
              <w:rPr>
                <w:b/>
                <w:sz w:val="22"/>
                <w:szCs w:val="22"/>
                <w:u w:val="single"/>
              </w:rPr>
              <w:t>E.Papule</w:t>
            </w:r>
            <w:proofErr w:type="spellEnd"/>
            <w:r w:rsidRPr="003C56E5">
              <w:rPr>
                <w:b/>
                <w:sz w:val="22"/>
                <w:szCs w:val="22"/>
                <w:u w:val="single"/>
              </w:rPr>
              <w:t xml:space="preserve">, </w:t>
            </w:r>
            <w:proofErr w:type="spellStart"/>
            <w:r w:rsidRPr="003C56E5">
              <w:rPr>
                <w:b/>
                <w:sz w:val="22"/>
                <w:szCs w:val="22"/>
                <w:u w:val="single"/>
              </w:rPr>
              <w:t>K.Ģirģens</w:t>
            </w:r>
            <w:proofErr w:type="spellEnd"/>
            <w:r w:rsidRPr="003C56E5">
              <w:rPr>
                <w:b/>
                <w:sz w:val="22"/>
                <w:szCs w:val="22"/>
                <w:u w:val="single"/>
              </w:rPr>
              <w:t xml:space="preserve">, </w:t>
            </w:r>
            <w:proofErr w:type="spellStart"/>
            <w:r w:rsidR="00305982">
              <w:rPr>
                <w:b/>
                <w:sz w:val="22"/>
                <w:szCs w:val="22"/>
                <w:u w:val="single"/>
              </w:rPr>
              <w:t>Ē</w:t>
            </w:r>
            <w:r w:rsidRPr="003C56E5">
              <w:rPr>
                <w:b/>
                <w:sz w:val="22"/>
                <w:szCs w:val="22"/>
                <w:u w:val="single"/>
              </w:rPr>
              <w:t>.Pucens</w:t>
            </w:r>
            <w:proofErr w:type="spellEnd"/>
          </w:p>
          <w:p w14:paraId="12C98289" w14:textId="77777777" w:rsidR="003C56E5" w:rsidRPr="003C56E5" w:rsidRDefault="003C56E5" w:rsidP="003C56E5">
            <w:pPr>
              <w:ind w:firstLine="567"/>
              <w:jc w:val="both"/>
              <w:rPr>
                <w:sz w:val="22"/>
                <w:szCs w:val="22"/>
              </w:rPr>
            </w:pPr>
            <w:r w:rsidRPr="003C56E5">
              <w:rPr>
                <w:sz w:val="22"/>
                <w:szCs w:val="22"/>
              </w:rPr>
              <w:t xml:space="preserve">Izteikt likumprojekta </w:t>
            </w:r>
            <w:r w:rsidRPr="003C56E5">
              <w:rPr>
                <w:b/>
                <w:bCs/>
                <w:sz w:val="22"/>
                <w:szCs w:val="22"/>
              </w:rPr>
              <w:t>15.</w:t>
            </w:r>
            <w:r w:rsidRPr="003C56E5">
              <w:rPr>
                <w:sz w:val="22"/>
                <w:szCs w:val="22"/>
              </w:rPr>
              <w:t xml:space="preserve"> pantu šādā redakcijā:</w:t>
            </w:r>
          </w:p>
          <w:p w14:paraId="57A17B50" w14:textId="77777777" w:rsidR="00AA0F3F" w:rsidRDefault="003C56E5" w:rsidP="003C56E5">
            <w:pPr>
              <w:ind w:firstLine="567"/>
              <w:jc w:val="both"/>
              <w:rPr>
                <w:sz w:val="22"/>
                <w:szCs w:val="22"/>
              </w:rPr>
            </w:pPr>
            <w:r w:rsidRPr="003C56E5">
              <w:rPr>
                <w:sz w:val="22"/>
                <w:szCs w:val="22"/>
              </w:rPr>
              <w:t xml:space="preserve">“Noteikt, ka iedzīvotāju ienākuma nodokļa ieņēmumu sadalījums starp valsts budžetu un pašvaldību budžetiem 2022., 2023. un 2024. gadā ir šāds: pašvaldību budžetiem — </w:t>
            </w:r>
            <w:r w:rsidRPr="003C56E5">
              <w:rPr>
                <w:sz w:val="22"/>
                <w:szCs w:val="22"/>
                <w:u w:val="single"/>
              </w:rPr>
              <w:t>80 procenti</w:t>
            </w:r>
            <w:r w:rsidRPr="003C56E5">
              <w:rPr>
                <w:sz w:val="22"/>
                <w:szCs w:val="22"/>
              </w:rPr>
              <w:t xml:space="preserve"> un valsts budžetam — </w:t>
            </w:r>
            <w:r w:rsidRPr="003C56E5">
              <w:rPr>
                <w:sz w:val="22"/>
                <w:szCs w:val="22"/>
                <w:u w:val="single"/>
              </w:rPr>
              <w:t>20 procenti</w:t>
            </w:r>
            <w:r w:rsidRPr="003C56E5">
              <w:rPr>
                <w:sz w:val="22"/>
                <w:szCs w:val="22"/>
              </w:rPr>
              <w:t>.”</w:t>
            </w:r>
          </w:p>
          <w:p w14:paraId="69049915" w14:textId="77777777" w:rsidR="00F578B2" w:rsidRDefault="00F578B2" w:rsidP="003C56E5">
            <w:pPr>
              <w:ind w:firstLine="567"/>
              <w:jc w:val="both"/>
              <w:rPr>
                <w:sz w:val="22"/>
                <w:szCs w:val="22"/>
              </w:rPr>
            </w:pPr>
          </w:p>
          <w:p w14:paraId="70719F7B" w14:textId="77777777" w:rsidR="00F578B2" w:rsidRPr="002736E7" w:rsidRDefault="00F578B2" w:rsidP="00F578B2">
            <w:pPr>
              <w:ind w:firstLine="567"/>
              <w:jc w:val="both"/>
              <w:rPr>
                <w:b/>
                <w:sz w:val="22"/>
                <w:szCs w:val="22"/>
                <w:u w:val="single"/>
              </w:rPr>
            </w:pPr>
            <w:r w:rsidRPr="002736E7">
              <w:rPr>
                <w:b/>
                <w:sz w:val="22"/>
                <w:szCs w:val="22"/>
                <w:u w:val="single"/>
              </w:rPr>
              <w:t>Zaļo un Zemnieku savienības frakcija</w:t>
            </w:r>
          </w:p>
          <w:p w14:paraId="52001E41" w14:textId="77777777" w:rsidR="00F578B2" w:rsidRPr="002736E7" w:rsidRDefault="00F578B2" w:rsidP="00F578B2">
            <w:pPr>
              <w:ind w:firstLine="567"/>
              <w:jc w:val="both"/>
              <w:rPr>
                <w:sz w:val="22"/>
                <w:szCs w:val="22"/>
              </w:rPr>
            </w:pPr>
            <w:r w:rsidRPr="002736E7">
              <w:rPr>
                <w:sz w:val="22"/>
                <w:szCs w:val="22"/>
              </w:rPr>
              <w:t>Izteikt likumprojekta “Par vidēja termiņa budžeta ietvaru 2022., 2023. un 2024. gadam” 15. pantu šādā redakcijā:</w:t>
            </w:r>
          </w:p>
          <w:p w14:paraId="69958518" w14:textId="77777777" w:rsidR="00F578B2" w:rsidRPr="002736E7" w:rsidRDefault="00F578B2" w:rsidP="00F578B2">
            <w:pPr>
              <w:ind w:firstLine="567"/>
              <w:contextualSpacing/>
              <w:jc w:val="both"/>
              <w:rPr>
                <w:iCs/>
                <w:sz w:val="22"/>
                <w:szCs w:val="22"/>
              </w:rPr>
            </w:pPr>
            <w:r w:rsidRPr="002736E7">
              <w:rPr>
                <w:iCs/>
                <w:sz w:val="22"/>
                <w:szCs w:val="22"/>
              </w:rPr>
              <w:t xml:space="preserve">“15. pants. </w:t>
            </w:r>
          </w:p>
          <w:p w14:paraId="281FCF9F" w14:textId="77777777" w:rsidR="00F578B2" w:rsidRPr="002736E7" w:rsidRDefault="00F578B2" w:rsidP="00F578B2">
            <w:pPr>
              <w:ind w:firstLine="567"/>
              <w:jc w:val="both"/>
              <w:rPr>
                <w:iCs/>
                <w:sz w:val="22"/>
                <w:szCs w:val="22"/>
              </w:rPr>
            </w:pPr>
            <w:r w:rsidRPr="002736E7">
              <w:rPr>
                <w:iCs/>
                <w:sz w:val="22"/>
                <w:szCs w:val="22"/>
              </w:rPr>
              <w:lastRenderedPageBreak/>
              <w:t xml:space="preserve">Noteikt, ka iedzīvotāju ienākuma nodokļa ieņēmumu sadalījums starp valsts budžetu un pašvaldību budžetiem 2022., 2023. un 2024. gadā ir šāds: </w:t>
            </w:r>
            <w:r w:rsidRPr="002736E7">
              <w:rPr>
                <w:iCs/>
                <w:sz w:val="22"/>
                <w:szCs w:val="22"/>
                <w:u w:val="single"/>
              </w:rPr>
              <w:t>pašvaldību budžetiem – 80 procenti un valsts budžetam – 20 procenti.</w:t>
            </w:r>
            <w:r w:rsidRPr="002736E7">
              <w:rPr>
                <w:iCs/>
                <w:sz w:val="22"/>
                <w:szCs w:val="22"/>
              </w:rPr>
              <w:t>”</w:t>
            </w:r>
          </w:p>
          <w:p w14:paraId="676CE1CC" w14:textId="77777777" w:rsidR="00F578B2" w:rsidRPr="002736E7" w:rsidRDefault="00F578B2" w:rsidP="00F578B2">
            <w:pPr>
              <w:ind w:firstLine="567"/>
              <w:jc w:val="both"/>
              <w:rPr>
                <w:b/>
                <w:bCs/>
                <w:i/>
                <w:sz w:val="22"/>
                <w:szCs w:val="22"/>
              </w:rPr>
            </w:pPr>
            <w:r w:rsidRPr="002736E7">
              <w:rPr>
                <w:b/>
                <w:bCs/>
                <w:i/>
                <w:sz w:val="22"/>
                <w:szCs w:val="22"/>
              </w:rPr>
              <w:t>Pamatojums:</w:t>
            </w:r>
          </w:p>
          <w:p w14:paraId="571F438C" w14:textId="77777777" w:rsidR="00F578B2" w:rsidRPr="003C56E5" w:rsidRDefault="00F578B2" w:rsidP="00F578B2">
            <w:pPr>
              <w:ind w:firstLine="567"/>
              <w:jc w:val="both"/>
              <w:rPr>
                <w:i/>
                <w:sz w:val="22"/>
                <w:szCs w:val="22"/>
              </w:rPr>
            </w:pPr>
            <w:r w:rsidRPr="002736E7">
              <w:rPr>
                <w:i/>
                <w:sz w:val="22"/>
                <w:szCs w:val="22"/>
              </w:rPr>
              <w:t>Lai nodrošinātu pašvaldībām nepieciešamos finanšu resursus pašvaldību funkciju veikšanai un saistību izpildei un lai nodrošinātu proporcionalitātes principa starp valsts un pašvaldību finanšu iespējām ievērošanu, paredzēt, ka pašvaldību budžetiem 2022.gadā un vidējā termiņā tiek novirzīti 80% no iedzīvotāju ienākuma nodokļa ieņēmumiem.</w:t>
            </w:r>
          </w:p>
        </w:tc>
        <w:tc>
          <w:tcPr>
            <w:tcW w:w="1451" w:type="dxa"/>
          </w:tcPr>
          <w:p w14:paraId="4E2445C7" w14:textId="77777777" w:rsidR="008519E0" w:rsidRDefault="00F52848" w:rsidP="008C4B57">
            <w:pPr>
              <w:jc w:val="center"/>
              <w:rPr>
                <w:b/>
                <w:sz w:val="22"/>
                <w:szCs w:val="22"/>
              </w:rPr>
            </w:pPr>
            <w:r>
              <w:rPr>
                <w:b/>
                <w:sz w:val="22"/>
                <w:szCs w:val="22"/>
              </w:rPr>
              <w:lastRenderedPageBreak/>
              <w:t>Neatbalstīt</w:t>
            </w:r>
          </w:p>
          <w:p w14:paraId="6C99869B" w14:textId="77777777" w:rsidR="006C2A0A" w:rsidRDefault="006C2A0A" w:rsidP="008C4B57">
            <w:pPr>
              <w:jc w:val="center"/>
              <w:rPr>
                <w:b/>
                <w:sz w:val="22"/>
                <w:szCs w:val="22"/>
              </w:rPr>
            </w:pPr>
          </w:p>
          <w:p w14:paraId="6C8090CD" w14:textId="77777777" w:rsidR="006C2A0A" w:rsidRDefault="006C2A0A" w:rsidP="008C4B57">
            <w:pPr>
              <w:jc w:val="center"/>
              <w:rPr>
                <w:b/>
                <w:sz w:val="22"/>
                <w:szCs w:val="22"/>
              </w:rPr>
            </w:pPr>
          </w:p>
          <w:p w14:paraId="029C8665" w14:textId="77777777" w:rsidR="006C2A0A" w:rsidRDefault="006C2A0A" w:rsidP="008C4B57">
            <w:pPr>
              <w:jc w:val="center"/>
              <w:rPr>
                <w:b/>
                <w:sz w:val="22"/>
                <w:szCs w:val="22"/>
              </w:rPr>
            </w:pPr>
          </w:p>
          <w:p w14:paraId="2B17DF30" w14:textId="77777777" w:rsidR="006C2A0A" w:rsidRDefault="006C2A0A" w:rsidP="008C4B57">
            <w:pPr>
              <w:jc w:val="center"/>
              <w:rPr>
                <w:b/>
                <w:sz w:val="22"/>
                <w:szCs w:val="22"/>
              </w:rPr>
            </w:pPr>
          </w:p>
          <w:p w14:paraId="3C71C45E" w14:textId="77777777" w:rsidR="006C2A0A" w:rsidRDefault="006C2A0A" w:rsidP="008C4B57">
            <w:pPr>
              <w:jc w:val="center"/>
              <w:rPr>
                <w:b/>
                <w:sz w:val="22"/>
                <w:szCs w:val="22"/>
              </w:rPr>
            </w:pPr>
          </w:p>
          <w:p w14:paraId="23F221C6" w14:textId="77777777" w:rsidR="006C2A0A" w:rsidRDefault="006C2A0A" w:rsidP="008C4B57">
            <w:pPr>
              <w:jc w:val="center"/>
              <w:rPr>
                <w:b/>
                <w:sz w:val="22"/>
                <w:szCs w:val="22"/>
              </w:rPr>
            </w:pPr>
          </w:p>
          <w:p w14:paraId="5E3651E6" w14:textId="77777777" w:rsidR="006C2A0A" w:rsidRDefault="006C2A0A" w:rsidP="008C4B57">
            <w:pPr>
              <w:jc w:val="center"/>
              <w:rPr>
                <w:b/>
                <w:sz w:val="22"/>
                <w:szCs w:val="22"/>
              </w:rPr>
            </w:pPr>
          </w:p>
          <w:p w14:paraId="06CA0C12" w14:textId="77777777" w:rsidR="006C2A0A" w:rsidRDefault="006C2A0A" w:rsidP="008C4B57">
            <w:pPr>
              <w:jc w:val="center"/>
              <w:rPr>
                <w:b/>
                <w:sz w:val="22"/>
                <w:szCs w:val="22"/>
              </w:rPr>
            </w:pPr>
          </w:p>
          <w:p w14:paraId="656F3609" w14:textId="103DB009" w:rsidR="006C2A0A" w:rsidRPr="008C4B57" w:rsidRDefault="006C2A0A" w:rsidP="008C4B57">
            <w:pPr>
              <w:jc w:val="center"/>
              <w:rPr>
                <w:b/>
                <w:sz w:val="22"/>
                <w:szCs w:val="22"/>
              </w:rPr>
            </w:pPr>
            <w:r>
              <w:rPr>
                <w:b/>
                <w:sz w:val="22"/>
                <w:szCs w:val="22"/>
              </w:rPr>
              <w:t>Neatbalstīt</w:t>
            </w:r>
          </w:p>
        </w:tc>
        <w:tc>
          <w:tcPr>
            <w:tcW w:w="1260" w:type="dxa"/>
          </w:tcPr>
          <w:p w14:paraId="7678F1D9" w14:textId="77777777" w:rsidR="005C5FDC" w:rsidRPr="008B6465" w:rsidRDefault="005C5FDC" w:rsidP="008B6465">
            <w:pPr>
              <w:jc w:val="both"/>
              <w:rPr>
                <w:sz w:val="22"/>
                <w:szCs w:val="22"/>
              </w:rPr>
            </w:pPr>
          </w:p>
        </w:tc>
      </w:tr>
      <w:tr w:rsidR="005C5FDC" w:rsidRPr="008B6465" w14:paraId="08DAECFE" w14:textId="77777777" w:rsidTr="005251F3">
        <w:tc>
          <w:tcPr>
            <w:tcW w:w="6516" w:type="dxa"/>
          </w:tcPr>
          <w:p w14:paraId="5B292A27" w14:textId="77777777" w:rsidR="00E71AA9" w:rsidRPr="002542DE" w:rsidRDefault="00E71AA9" w:rsidP="0006720B">
            <w:pPr>
              <w:shd w:val="clear" w:color="auto" w:fill="FFFFFF"/>
              <w:ind w:firstLine="567"/>
              <w:jc w:val="both"/>
              <w:rPr>
                <w:sz w:val="22"/>
                <w:szCs w:val="22"/>
                <w:lang w:eastAsia="lv-LV"/>
              </w:rPr>
            </w:pPr>
            <w:r w:rsidRPr="002542DE">
              <w:rPr>
                <w:b/>
                <w:bCs/>
                <w:sz w:val="22"/>
                <w:szCs w:val="22"/>
                <w:lang w:eastAsia="lv-LV"/>
              </w:rPr>
              <w:t>16.</w:t>
            </w:r>
            <w:r w:rsidRPr="002542DE">
              <w:rPr>
                <w:sz w:val="22"/>
                <w:szCs w:val="22"/>
                <w:lang w:eastAsia="lv-LV"/>
              </w:rPr>
              <w:t> </w:t>
            </w:r>
            <w:r w:rsidRPr="002542DE">
              <w:rPr>
                <w:b/>
                <w:bCs/>
                <w:sz w:val="22"/>
                <w:szCs w:val="22"/>
                <w:lang w:eastAsia="lv-LV"/>
              </w:rPr>
              <w:t>pants.</w:t>
            </w:r>
          </w:p>
          <w:p w14:paraId="5542F9A0" w14:textId="77777777" w:rsidR="005C5FDC" w:rsidRPr="000847C0" w:rsidRDefault="00E71AA9" w:rsidP="0006720B">
            <w:pPr>
              <w:shd w:val="clear" w:color="auto" w:fill="FFFFFF"/>
              <w:ind w:firstLine="567"/>
              <w:jc w:val="both"/>
              <w:rPr>
                <w:b/>
                <w:bCs/>
                <w:sz w:val="22"/>
                <w:szCs w:val="22"/>
              </w:rPr>
            </w:pPr>
            <w:r w:rsidRPr="002542DE">
              <w:rPr>
                <w:sz w:val="22"/>
                <w:szCs w:val="22"/>
                <w:lang w:eastAsia="lv-LV"/>
              </w:rPr>
              <w:t> Noteikt, ka vispārējās valdības sektorā iekļautās valsts kapitālsabiedrības negatīvā ietekme uz vispārējās valdības budžeta bilanci, kas aprēķināta saskaņā ar šā likuma 4. pielikumu, 2023. un 2024. gadā drīkst pārsniegt 5 000 000 </w:t>
            </w:r>
            <w:proofErr w:type="spellStart"/>
            <w:r w:rsidRPr="002542DE">
              <w:rPr>
                <w:i/>
                <w:iCs/>
                <w:sz w:val="22"/>
                <w:szCs w:val="22"/>
                <w:lang w:eastAsia="lv-LV"/>
              </w:rPr>
              <w:t>euro</w:t>
            </w:r>
            <w:proofErr w:type="spellEnd"/>
            <w:r w:rsidRPr="002542DE">
              <w:rPr>
                <w:sz w:val="22"/>
                <w:szCs w:val="22"/>
                <w:lang w:eastAsia="lv-LV"/>
              </w:rPr>
              <w:t> tad, ja ir saņemta Ministru kabineta piekrišana. Kapitāla daļu turētājs nodrošina šā nosacījuma izpildi un, ja nepieciešama Ministru kabineta piekrišana, līdz likumprojekta par valsts budžetu kārtējam gadam un vidēja termiņa budžeta ietvara likumprojekta sagatavošanas grafikā noteiktajam termiņam iesniedz Ministru kabinetam attiecīgu ziņojumu.</w:t>
            </w:r>
          </w:p>
        </w:tc>
        <w:tc>
          <w:tcPr>
            <w:tcW w:w="644" w:type="dxa"/>
          </w:tcPr>
          <w:p w14:paraId="056F58B4" w14:textId="77777777" w:rsidR="00CA3ADC" w:rsidRPr="00D21B94" w:rsidRDefault="00CA3ADC" w:rsidP="00EA09BE">
            <w:pPr>
              <w:jc w:val="center"/>
              <w:rPr>
                <w:b/>
                <w:bCs/>
                <w:sz w:val="22"/>
                <w:szCs w:val="22"/>
              </w:rPr>
            </w:pPr>
          </w:p>
        </w:tc>
        <w:tc>
          <w:tcPr>
            <w:tcW w:w="5168" w:type="dxa"/>
          </w:tcPr>
          <w:p w14:paraId="1BAAA23F" w14:textId="77777777" w:rsidR="005C5FDC" w:rsidRPr="001E02AA" w:rsidRDefault="005C5FDC" w:rsidP="001E02AA">
            <w:pPr>
              <w:ind w:firstLine="567"/>
              <w:jc w:val="both"/>
              <w:rPr>
                <w:b/>
                <w:bCs/>
                <w:i/>
                <w:sz w:val="22"/>
                <w:szCs w:val="22"/>
              </w:rPr>
            </w:pPr>
          </w:p>
        </w:tc>
        <w:tc>
          <w:tcPr>
            <w:tcW w:w="1451" w:type="dxa"/>
          </w:tcPr>
          <w:p w14:paraId="7C1F0ED8" w14:textId="77777777" w:rsidR="005C5FDC" w:rsidRPr="008C4B57" w:rsidRDefault="005C5FDC" w:rsidP="008C4B57">
            <w:pPr>
              <w:jc w:val="center"/>
              <w:rPr>
                <w:b/>
                <w:bCs/>
                <w:sz w:val="22"/>
                <w:szCs w:val="22"/>
              </w:rPr>
            </w:pPr>
          </w:p>
        </w:tc>
        <w:tc>
          <w:tcPr>
            <w:tcW w:w="1260" w:type="dxa"/>
          </w:tcPr>
          <w:p w14:paraId="4E896B01" w14:textId="77777777" w:rsidR="005C5FDC" w:rsidRPr="008B6465" w:rsidRDefault="005C5FDC" w:rsidP="008B6465">
            <w:pPr>
              <w:jc w:val="both"/>
              <w:rPr>
                <w:b/>
                <w:bCs/>
                <w:sz w:val="22"/>
                <w:szCs w:val="22"/>
              </w:rPr>
            </w:pPr>
          </w:p>
        </w:tc>
      </w:tr>
      <w:tr w:rsidR="005C5FDC" w:rsidRPr="008B6465" w14:paraId="0009D287" w14:textId="77777777" w:rsidTr="005251F3">
        <w:tc>
          <w:tcPr>
            <w:tcW w:w="6516" w:type="dxa"/>
          </w:tcPr>
          <w:p w14:paraId="51C287C4" w14:textId="77777777" w:rsidR="00E71AA9" w:rsidRPr="002542DE" w:rsidRDefault="00E71AA9" w:rsidP="0006720B">
            <w:pPr>
              <w:shd w:val="clear" w:color="auto" w:fill="FFFFFF"/>
              <w:ind w:firstLine="567"/>
              <w:jc w:val="both"/>
              <w:rPr>
                <w:sz w:val="22"/>
                <w:szCs w:val="22"/>
                <w:lang w:eastAsia="lv-LV"/>
              </w:rPr>
            </w:pPr>
            <w:r w:rsidRPr="002542DE">
              <w:rPr>
                <w:b/>
                <w:bCs/>
                <w:sz w:val="22"/>
                <w:szCs w:val="22"/>
                <w:lang w:eastAsia="lv-LV"/>
              </w:rPr>
              <w:t>17.</w:t>
            </w:r>
            <w:r w:rsidRPr="002542DE">
              <w:rPr>
                <w:sz w:val="22"/>
                <w:szCs w:val="22"/>
                <w:lang w:eastAsia="lv-LV"/>
              </w:rPr>
              <w:t> </w:t>
            </w:r>
            <w:r w:rsidRPr="002542DE">
              <w:rPr>
                <w:b/>
                <w:bCs/>
                <w:sz w:val="22"/>
                <w:szCs w:val="22"/>
                <w:lang w:eastAsia="lv-LV"/>
              </w:rPr>
              <w:t>pants.</w:t>
            </w:r>
          </w:p>
          <w:p w14:paraId="2EDF4C96" w14:textId="77777777" w:rsidR="005C5FDC" w:rsidRPr="000847C0" w:rsidRDefault="00E71AA9" w:rsidP="0006720B">
            <w:pPr>
              <w:shd w:val="clear" w:color="auto" w:fill="FFFFFF"/>
              <w:ind w:firstLine="567"/>
              <w:jc w:val="both"/>
              <w:rPr>
                <w:b/>
                <w:sz w:val="22"/>
                <w:szCs w:val="22"/>
              </w:rPr>
            </w:pPr>
            <w:r w:rsidRPr="002542DE">
              <w:rPr>
                <w:sz w:val="22"/>
                <w:szCs w:val="22"/>
                <w:lang w:eastAsia="lv-LV"/>
              </w:rPr>
              <w:t> Noteikt, ka vispārējās valdības sektorā iekļautās pašvaldību kapitālsabiedrības negatīvā ietekme uz vispārējās valdības budžeta bilanci, kas aprēķināta saskaņā ar šā likuma 4. pielikumu, 2023. un 2024. gadā drīkst pārsniegt 5 000 000 </w:t>
            </w:r>
            <w:proofErr w:type="spellStart"/>
            <w:r w:rsidRPr="002542DE">
              <w:rPr>
                <w:i/>
                <w:iCs/>
                <w:sz w:val="22"/>
                <w:szCs w:val="22"/>
                <w:lang w:eastAsia="lv-LV"/>
              </w:rPr>
              <w:t>euro</w:t>
            </w:r>
            <w:proofErr w:type="spellEnd"/>
            <w:r w:rsidRPr="002542DE">
              <w:rPr>
                <w:sz w:val="22"/>
                <w:szCs w:val="22"/>
                <w:lang w:eastAsia="lv-LV"/>
              </w:rPr>
              <w:t xml:space="preserve"> tad, ja ir saņemta Ministru kabineta piekrišana, ja vien attiecīgā pašvaldība nenodrošina, ka tās un visu tās institūciju, kas iekļautas vispārējās valdības sektorā, kopējā ietekme uz vispārējās valdības budžeta bilanci tiek prognozēta neitrāla vai pozitīva un par to ir saņemts Finanšu ministrijas atzinums. Kapitāla daļu turētājs nodrošina šā nosacījuma izpildi un, ja nepieciešama Ministru kabineta piekrišana, līdz likumprojekta par valsts budžetu kārtējam gadam un vidēja termiņa budžeta ietvara likumprojekta sagatavošanas grafikā </w:t>
            </w:r>
            <w:r w:rsidRPr="002542DE">
              <w:rPr>
                <w:sz w:val="22"/>
                <w:szCs w:val="22"/>
                <w:lang w:eastAsia="lv-LV"/>
              </w:rPr>
              <w:lastRenderedPageBreak/>
              <w:t>noteiktajam termiņam iesniedz Finanšu ministrijai attiecīgu ziņojumu, kuru Finanšu ministrija tālāk virza izskatīšanai Ministru kabinetā.</w:t>
            </w:r>
          </w:p>
        </w:tc>
        <w:tc>
          <w:tcPr>
            <w:tcW w:w="644" w:type="dxa"/>
          </w:tcPr>
          <w:p w14:paraId="4789DCED" w14:textId="77777777" w:rsidR="00E53D11" w:rsidRPr="00D21B94" w:rsidRDefault="00E53D11" w:rsidP="00EA09BE">
            <w:pPr>
              <w:jc w:val="center"/>
              <w:rPr>
                <w:b/>
                <w:sz w:val="22"/>
                <w:szCs w:val="22"/>
              </w:rPr>
            </w:pPr>
          </w:p>
        </w:tc>
        <w:tc>
          <w:tcPr>
            <w:tcW w:w="5168" w:type="dxa"/>
          </w:tcPr>
          <w:p w14:paraId="0EED400D" w14:textId="77777777" w:rsidR="001172A3" w:rsidRPr="001E02AA" w:rsidRDefault="001172A3" w:rsidP="001E02AA">
            <w:pPr>
              <w:ind w:firstLine="567"/>
              <w:jc w:val="both"/>
              <w:rPr>
                <w:b/>
                <w:sz w:val="22"/>
                <w:szCs w:val="22"/>
              </w:rPr>
            </w:pPr>
          </w:p>
        </w:tc>
        <w:tc>
          <w:tcPr>
            <w:tcW w:w="1451" w:type="dxa"/>
          </w:tcPr>
          <w:p w14:paraId="3EBEDEEE" w14:textId="77777777" w:rsidR="00755475" w:rsidRPr="008C4B57" w:rsidRDefault="00755475" w:rsidP="009F74BB">
            <w:pPr>
              <w:jc w:val="both"/>
              <w:rPr>
                <w:b/>
                <w:sz w:val="22"/>
                <w:szCs w:val="22"/>
              </w:rPr>
            </w:pPr>
          </w:p>
        </w:tc>
        <w:tc>
          <w:tcPr>
            <w:tcW w:w="1260" w:type="dxa"/>
          </w:tcPr>
          <w:p w14:paraId="3B7B30BF" w14:textId="77777777" w:rsidR="005C5FDC" w:rsidRPr="008B6465" w:rsidRDefault="005C5FDC" w:rsidP="008B6465">
            <w:pPr>
              <w:jc w:val="both"/>
              <w:rPr>
                <w:b/>
                <w:sz w:val="22"/>
                <w:szCs w:val="22"/>
              </w:rPr>
            </w:pPr>
          </w:p>
        </w:tc>
      </w:tr>
      <w:tr w:rsidR="005C5FDC" w:rsidRPr="008B6465" w14:paraId="5059DF6A" w14:textId="77777777" w:rsidTr="005251F3">
        <w:tc>
          <w:tcPr>
            <w:tcW w:w="6516" w:type="dxa"/>
          </w:tcPr>
          <w:p w14:paraId="13DE2EEE" w14:textId="77777777" w:rsidR="00E71AA9" w:rsidRPr="002542DE" w:rsidRDefault="00E71AA9" w:rsidP="0006720B">
            <w:pPr>
              <w:shd w:val="clear" w:color="auto" w:fill="FFFFFF"/>
              <w:ind w:firstLine="567"/>
              <w:jc w:val="both"/>
              <w:rPr>
                <w:sz w:val="22"/>
                <w:szCs w:val="22"/>
                <w:lang w:eastAsia="lv-LV"/>
              </w:rPr>
            </w:pPr>
            <w:r w:rsidRPr="002542DE">
              <w:rPr>
                <w:b/>
                <w:bCs/>
                <w:sz w:val="22"/>
                <w:szCs w:val="22"/>
                <w:lang w:eastAsia="lv-LV"/>
              </w:rPr>
              <w:t>18.</w:t>
            </w:r>
            <w:r w:rsidRPr="002542DE">
              <w:rPr>
                <w:sz w:val="22"/>
                <w:szCs w:val="22"/>
                <w:lang w:eastAsia="lv-LV"/>
              </w:rPr>
              <w:t> </w:t>
            </w:r>
            <w:r w:rsidRPr="002542DE">
              <w:rPr>
                <w:b/>
                <w:bCs/>
                <w:sz w:val="22"/>
                <w:szCs w:val="22"/>
                <w:lang w:eastAsia="lv-LV"/>
              </w:rPr>
              <w:t>pants.</w:t>
            </w:r>
          </w:p>
          <w:p w14:paraId="4DBB288B" w14:textId="77777777" w:rsidR="005C5FDC" w:rsidRPr="000847C0" w:rsidRDefault="00E71AA9" w:rsidP="0006720B">
            <w:pPr>
              <w:shd w:val="clear" w:color="auto" w:fill="FFFFFF"/>
              <w:ind w:firstLine="567"/>
              <w:jc w:val="both"/>
              <w:rPr>
                <w:sz w:val="22"/>
                <w:szCs w:val="22"/>
              </w:rPr>
            </w:pPr>
            <w:r w:rsidRPr="002542DE">
              <w:rPr>
                <w:sz w:val="22"/>
                <w:szCs w:val="22"/>
                <w:lang w:eastAsia="lv-LV"/>
              </w:rPr>
              <w:t> Noteikt, ka informācija par vispārējās valdības sektorā iekļauto kapitālsabiedrību faktisko un prognozēto ietekmi uz vispārējās valdības izdevumiem, ieņēmumiem, budžeta bilanci un parādu ir publiski pieejama un Finanšu ministrija to iekļauj vidēja termiņa budžeta ietvara likuma projekta paskaidrojumos.</w:t>
            </w:r>
          </w:p>
        </w:tc>
        <w:tc>
          <w:tcPr>
            <w:tcW w:w="644" w:type="dxa"/>
          </w:tcPr>
          <w:p w14:paraId="200F39F4" w14:textId="77777777" w:rsidR="009F74BB" w:rsidRPr="00D21B94" w:rsidRDefault="009F74BB" w:rsidP="00864D5D">
            <w:pPr>
              <w:jc w:val="center"/>
              <w:rPr>
                <w:b/>
                <w:sz w:val="22"/>
                <w:szCs w:val="22"/>
              </w:rPr>
            </w:pPr>
          </w:p>
        </w:tc>
        <w:tc>
          <w:tcPr>
            <w:tcW w:w="5168" w:type="dxa"/>
          </w:tcPr>
          <w:p w14:paraId="032F04A9" w14:textId="77777777" w:rsidR="009F74BB" w:rsidRPr="001E02AA" w:rsidRDefault="009F74BB" w:rsidP="001E02AA">
            <w:pPr>
              <w:ind w:firstLine="567"/>
              <w:jc w:val="both"/>
              <w:rPr>
                <w:sz w:val="22"/>
                <w:szCs w:val="22"/>
              </w:rPr>
            </w:pPr>
          </w:p>
        </w:tc>
        <w:tc>
          <w:tcPr>
            <w:tcW w:w="1451" w:type="dxa"/>
          </w:tcPr>
          <w:p w14:paraId="3DD271A8" w14:textId="77777777" w:rsidR="009F74BB" w:rsidRPr="009F74BB" w:rsidRDefault="009F74BB" w:rsidP="008C4B57">
            <w:pPr>
              <w:jc w:val="center"/>
              <w:rPr>
                <w:sz w:val="22"/>
                <w:szCs w:val="22"/>
              </w:rPr>
            </w:pPr>
          </w:p>
        </w:tc>
        <w:tc>
          <w:tcPr>
            <w:tcW w:w="1260" w:type="dxa"/>
          </w:tcPr>
          <w:p w14:paraId="4D5EFE98" w14:textId="77777777" w:rsidR="005C5FDC" w:rsidRPr="008B6465" w:rsidRDefault="005C5FDC" w:rsidP="008B6465">
            <w:pPr>
              <w:jc w:val="both"/>
              <w:rPr>
                <w:sz w:val="22"/>
                <w:szCs w:val="22"/>
              </w:rPr>
            </w:pPr>
          </w:p>
        </w:tc>
      </w:tr>
      <w:tr w:rsidR="000435A6" w:rsidRPr="008B6465" w14:paraId="2425465F" w14:textId="77777777" w:rsidTr="005251F3">
        <w:tc>
          <w:tcPr>
            <w:tcW w:w="6516" w:type="dxa"/>
          </w:tcPr>
          <w:p w14:paraId="22DCC950" w14:textId="77777777" w:rsidR="00E71AA9" w:rsidRPr="002542DE" w:rsidRDefault="00E71AA9" w:rsidP="0006720B">
            <w:pPr>
              <w:shd w:val="clear" w:color="auto" w:fill="FFFFFF"/>
              <w:ind w:firstLine="567"/>
              <w:jc w:val="both"/>
              <w:rPr>
                <w:sz w:val="22"/>
                <w:szCs w:val="22"/>
                <w:lang w:eastAsia="lv-LV"/>
              </w:rPr>
            </w:pPr>
            <w:bookmarkStart w:id="0" w:name="p12"/>
            <w:bookmarkStart w:id="1" w:name="p-495559"/>
            <w:bookmarkEnd w:id="0"/>
            <w:bookmarkEnd w:id="1"/>
            <w:r w:rsidRPr="002542DE">
              <w:rPr>
                <w:b/>
                <w:bCs/>
                <w:sz w:val="22"/>
                <w:szCs w:val="22"/>
                <w:lang w:eastAsia="lv-LV"/>
              </w:rPr>
              <w:t>19.</w:t>
            </w:r>
            <w:r w:rsidRPr="002542DE">
              <w:rPr>
                <w:sz w:val="22"/>
                <w:szCs w:val="22"/>
                <w:lang w:eastAsia="lv-LV"/>
              </w:rPr>
              <w:t> </w:t>
            </w:r>
            <w:r w:rsidRPr="002542DE">
              <w:rPr>
                <w:b/>
                <w:bCs/>
                <w:sz w:val="22"/>
                <w:szCs w:val="22"/>
                <w:lang w:eastAsia="lv-LV"/>
              </w:rPr>
              <w:t>pants.</w:t>
            </w:r>
          </w:p>
          <w:p w14:paraId="0B23D9CF" w14:textId="77777777" w:rsidR="000435A6" w:rsidRPr="000847C0" w:rsidRDefault="00E71AA9" w:rsidP="0006720B">
            <w:pPr>
              <w:shd w:val="clear" w:color="auto" w:fill="FFFFFF"/>
              <w:ind w:firstLine="567"/>
              <w:jc w:val="both"/>
              <w:rPr>
                <w:b/>
                <w:sz w:val="22"/>
                <w:szCs w:val="22"/>
              </w:rPr>
            </w:pPr>
            <w:r w:rsidRPr="002542DE">
              <w:rPr>
                <w:sz w:val="22"/>
                <w:szCs w:val="22"/>
                <w:lang w:eastAsia="lv-LV"/>
              </w:rPr>
              <w:t xml:space="preserve"> Lai nodrošinātu </w:t>
            </w:r>
            <w:proofErr w:type="spellStart"/>
            <w:r w:rsidRPr="002542DE">
              <w:rPr>
                <w:sz w:val="22"/>
                <w:szCs w:val="22"/>
                <w:lang w:eastAsia="lv-LV"/>
              </w:rPr>
              <w:t>virssaistību</w:t>
            </w:r>
            <w:proofErr w:type="spellEnd"/>
            <w:r w:rsidRPr="002542DE">
              <w:rPr>
                <w:sz w:val="22"/>
                <w:szCs w:val="22"/>
                <w:lang w:eastAsia="lv-LV"/>
              </w:rPr>
              <w:t xml:space="preserve"> neitrālu ietekmi uz vispārējās valdības budžeta bilanci Eiropas Savienības struktūrfondu un Kohēzijas fonda darbības programmas "Izaugsme un nodarbinātība" ietvaros, </w:t>
            </w:r>
            <w:proofErr w:type="spellStart"/>
            <w:r w:rsidRPr="002542DE">
              <w:rPr>
                <w:sz w:val="22"/>
                <w:szCs w:val="22"/>
                <w:lang w:eastAsia="lv-LV"/>
              </w:rPr>
              <w:t>virssaistības</w:t>
            </w:r>
            <w:proofErr w:type="spellEnd"/>
            <w:r w:rsidRPr="002542DE">
              <w:rPr>
                <w:sz w:val="22"/>
                <w:szCs w:val="22"/>
                <w:lang w:eastAsia="lv-LV"/>
              </w:rPr>
              <w:t xml:space="preserve"> tiek kompensētas no Eiropas Savienības fondu finansējuma līdz plānošanas perioda beigām atbilstoši Ministru kabineta lēmumam.</w:t>
            </w:r>
          </w:p>
        </w:tc>
        <w:tc>
          <w:tcPr>
            <w:tcW w:w="644" w:type="dxa"/>
          </w:tcPr>
          <w:p w14:paraId="79678235" w14:textId="77777777" w:rsidR="000435A6" w:rsidRPr="00D21B94" w:rsidRDefault="000435A6" w:rsidP="00EA09BE">
            <w:pPr>
              <w:jc w:val="center"/>
              <w:rPr>
                <w:b/>
                <w:sz w:val="22"/>
                <w:szCs w:val="22"/>
              </w:rPr>
            </w:pPr>
          </w:p>
        </w:tc>
        <w:tc>
          <w:tcPr>
            <w:tcW w:w="5168" w:type="dxa"/>
          </w:tcPr>
          <w:p w14:paraId="12FB2B4F" w14:textId="77777777" w:rsidR="00242414" w:rsidRPr="001E02AA" w:rsidRDefault="00242414" w:rsidP="001E02AA">
            <w:pPr>
              <w:pStyle w:val="ListParagraph"/>
              <w:tabs>
                <w:tab w:val="left" w:pos="993"/>
              </w:tabs>
              <w:ind w:left="0" w:firstLine="567"/>
              <w:jc w:val="both"/>
              <w:rPr>
                <w:b/>
                <w:sz w:val="22"/>
                <w:szCs w:val="22"/>
                <w:u w:val="single"/>
              </w:rPr>
            </w:pPr>
          </w:p>
        </w:tc>
        <w:tc>
          <w:tcPr>
            <w:tcW w:w="1451" w:type="dxa"/>
          </w:tcPr>
          <w:p w14:paraId="48B93982" w14:textId="77777777" w:rsidR="000435A6" w:rsidRPr="008C4B57" w:rsidRDefault="000435A6" w:rsidP="008C4B57">
            <w:pPr>
              <w:jc w:val="center"/>
              <w:rPr>
                <w:b/>
                <w:sz w:val="22"/>
                <w:szCs w:val="22"/>
              </w:rPr>
            </w:pPr>
          </w:p>
        </w:tc>
        <w:tc>
          <w:tcPr>
            <w:tcW w:w="1260" w:type="dxa"/>
          </w:tcPr>
          <w:p w14:paraId="04E018D5" w14:textId="77777777" w:rsidR="000435A6" w:rsidRPr="008B6465" w:rsidRDefault="000435A6" w:rsidP="008B6465">
            <w:pPr>
              <w:jc w:val="both"/>
              <w:rPr>
                <w:b/>
                <w:sz w:val="22"/>
                <w:szCs w:val="22"/>
              </w:rPr>
            </w:pPr>
          </w:p>
        </w:tc>
      </w:tr>
      <w:tr w:rsidR="000435A6" w:rsidRPr="008B6465" w14:paraId="55D54749" w14:textId="77777777" w:rsidTr="005251F3">
        <w:tc>
          <w:tcPr>
            <w:tcW w:w="6516" w:type="dxa"/>
          </w:tcPr>
          <w:p w14:paraId="45097DAF" w14:textId="77777777" w:rsidR="00E71AA9" w:rsidRPr="002542DE" w:rsidRDefault="00E71AA9" w:rsidP="0006720B">
            <w:pPr>
              <w:shd w:val="clear" w:color="auto" w:fill="FFFFFF"/>
              <w:ind w:firstLine="567"/>
              <w:jc w:val="both"/>
              <w:rPr>
                <w:sz w:val="22"/>
                <w:szCs w:val="22"/>
                <w:lang w:eastAsia="lv-LV"/>
              </w:rPr>
            </w:pPr>
            <w:r w:rsidRPr="002542DE">
              <w:rPr>
                <w:b/>
                <w:bCs/>
                <w:sz w:val="22"/>
                <w:szCs w:val="22"/>
                <w:lang w:eastAsia="lv-LV"/>
              </w:rPr>
              <w:t>20.</w:t>
            </w:r>
            <w:r w:rsidRPr="002542DE">
              <w:rPr>
                <w:sz w:val="22"/>
                <w:szCs w:val="22"/>
                <w:lang w:eastAsia="lv-LV"/>
              </w:rPr>
              <w:t> </w:t>
            </w:r>
            <w:r w:rsidRPr="002542DE">
              <w:rPr>
                <w:b/>
                <w:bCs/>
                <w:sz w:val="22"/>
                <w:szCs w:val="22"/>
                <w:lang w:eastAsia="lv-LV"/>
              </w:rPr>
              <w:t>pants.</w:t>
            </w:r>
          </w:p>
          <w:p w14:paraId="18276DE1" w14:textId="77777777" w:rsidR="000435A6" w:rsidRPr="000847C0" w:rsidRDefault="00E71AA9" w:rsidP="0006720B">
            <w:pPr>
              <w:shd w:val="clear" w:color="auto" w:fill="FFFFFF"/>
              <w:ind w:firstLine="567"/>
              <w:jc w:val="both"/>
              <w:rPr>
                <w:b/>
                <w:sz w:val="22"/>
                <w:szCs w:val="22"/>
              </w:rPr>
            </w:pPr>
            <w:r w:rsidRPr="002542DE">
              <w:rPr>
                <w:sz w:val="22"/>
                <w:szCs w:val="22"/>
                <w:lang w:eastAsia="lv-LV"/>
              </w:rPr>
              <w:t> Noteikt, ka akciju sabiedrība "Latvenergo" ieskaita valsts pamatbudžeta ieņēmumos dividenžu maksājumu 2022. gadā (par 2021. pārskata gadu) 64 procentu apmērā no pārskata gada peļņas, bet ne mazāk kā 70 160 000 </w:t>
            </w:r>
            <w:proofErr w:type="spellStart"/>
            <w:r w:rsidRPr="002542DE">
              <w:rPr>
                <w:i/>
                <w:iCs/>
                <w:sz w:val="22"/>
                <w:szCs w:val="22"/>
                <w:lang w:eastAsia="lv-LV"/>
              </w:rPr>
              <w:t>euro</w:t>
            </w:r>
            <w:proofErr w:type="spellEnd"/>
            <w:r w:rsidRPr="002542DE">
              <w:rPr>
                <w:sz w:val="22"/>
                <w:szCs w:val="22"/>
                <w:lang w:eastAsia="lv-LV"/>
              </w:rPr>
              <w:t> un 2023. gadā (par 2022. pārskata gadu) 64 procentu apmērā no pārskata gada peļņas, bet ne mazāk kā 56 763 546 </w:t>
            </w:r>
            <w:proofErr w:type="spellStart"/>
            <w:r w:rsidRPr="002542DE">
              <w:rPr>
                <w:i/>
                <w:iCs/>
                <w:sz w:val="22"/>
                <w:szCs w:val="22"/>
                <w:lang w:eastAsia="lv-LV"/>
              </w:rPr>
              <w:t>euro</w:t>
            </w:r>
            <w:proofErr w:type="spellEnd"/>
            <w:r w:rsidRPr="002542DE">
              <w:rPr>
                <w:sz w:val="22"/>
                <w:szCs w:val="22"/>
                <w:lang w:eastAsia="lv-LV"/>
              </w:rPr>
              <w:t>, uzņēmumu ienākuma nodokli aprēķinot un nomaksājot uzņēmumu ienākuma nodokli regulējošos normatīvos aktos noteiktajā kārtībā.</w:t>
            </w:r>
          </w:p>
        </w:tc>
        <w:tc>
          <w:tcPr>
            <w:tcW w:w="644" w:type="dxa"/>
          </w:tcPr>
          <w:p w14:paraId="3BAF1945" w14:textId="77777777" w:rsidR="00431EFE" w:rsidRPr="00D21B94" w:rsidRDefault="00431EFE" w:rsidP="00EA09BE">
            <w:pPr>
              <w:jc w:val="center"/>
              <w:rPr>
                <w:b/>
                <w:sz w:val="22"/>
                <w:szCs w:val="22"/>
              </w:rPr>
            </w:pPr>
          </w:p>
        </w:tc>
        <w:tc>
          <w:tcPr>
            <w:tcW w:w="5168" w:type="dxa"/>
          </w:tcPr>
          <w:p w14:paraId="47693F50" w14:textId="77777777" w:rsidR="000119AE" w:rsidRPr="00B02F57" w:rsidRDefault="000119AE" w:rsidP="00881CEA">
            <w:pPr>
              <w:ind w:firstLine="567"/>
              <w:jc w:val="both"/>
              <w:rPr>
                <w:b/>
                <w:i/>
                <w:sz w:val="22"/>
                <w:szCs w:val="22"/>
                <w:u w:val="single"/>
              </w:rPr>
            </w:pPr>
          </w:p>
        </w:tc>
        <w:tc>
          <w:tcPr>
            <w:tcW w:w="1451" w:type="dxa"/>
          </w:tcPr>
          <w:p w14:paraId="2BAEB256" w14:textId="77777777" w:rsidR="00B02F57" w:rsidRPr="00B02F57" w:rsidRDefault="00B02F57" w:rsidP="008C4B57">
            <w:pPr>
              <w:jc w:val="center"/>
              <w:rPr>
                <w:b/>
                <w:sz w:val="22"/>
                <w:szCs w:val="22"/>
              </w:rPr>
            </w:pPr>
          </w:p>
        </w:tc>
        <w:tc>
          <w:tcPr>
            <w:tcW w:w="1260" w:type="dxa"/>
          </w:tcPr>
          <w:p w14:paraId="67FC51A6" w14:textId="77777777" w:rsidR="000435A6" w:rsidRPr="008B6465" w:rsidRDefault="000435A6" w:rsidP="008B6465">
            <w:pPr>
              <w:jc w:val="both"/>
              <w:rPr>
                <w:b/>
                <w:sz w:val="22"/>
                <w:szCs w:val="22"/>
              </w:rPr>
            </w:pPr>
          </w:p>
        </w:tc>
      </w:tr>
      <w:tr w:rsidR="000435A6" w:rsidRPr="008B6465" w14:paraId="018750B2" w14:textId="77777777" w:rsidTr="005251F3">
        <w:tc>
          <w:tcPr>
            <w:tcW w:w="6516" w:type="dxa"/>
          </w:tcPr>
          <w:p w14:paraId="721CB0A1" w14:textId="77777777" w:rsidR="00E71AA9" w:rsidRPr="002542DE" w:rsidRDefault="00E71AA9" w:rsidP="0006720B">
            <w:pPr>
              <w:shd w:val="clear" w:color="auto" w:fill="FFFFFF"/>
              <w:ind w:firstLine="567"/>
              <w:jc w:val="both"/>
              <w:rPr>
                <w:sz w:val="22"/>
                <w:szCs w:val="22"/>
                <w:lang w:eastAsia="lv-LV"/>
              </w:rPr>
            </w:pPr>
            <w:bookmarkStart w:id="2" w:name="p17"/>
            <w:bookmarkStart w:id="3" w:name="p-571987"/>
            <w:bookmarkEnd w:id="2"/>
            <w:bookmarkEnd w:id="3"/>
            <w:r w:rsidRPr="002542DE">
              <w:rPr>
                <w:b/>
                <w:bCs/>
                <w:sz w:val="22"/>
                <w:szCs w:val="22"/>
                <w:lang w:eastAsia="lv-LV"/>
              </w:rPr>
              <w:t>21.</w:t>
            </w:r>
            <w:r w:rsidRPr="002542DE">
              <w:rPr>
                <w:sz w:val="22"/>
                <w:szCs w:val="22"/>
                <w:lang w:eastAsia="lv-LV"/>
              </w:rPr>
              <w:t> </w:t>
            </w:r>
            <w:r w:rsidRPr="002542DE">
              <w:rPr>
                <w:b/>
                <w:bCs/>
                <w:sz w:val="22"/>
                <w:szCs w:val="22"/>
                <w:lang w:eastAsia="lv-LV"/>
              </w:rPr>
              <w:t>pants.</w:t>
            </w:r>
          </w:p>
          <w:p w14:paraId="51B10D05" w14:textId="77777777" w:rsidR="000435A6" w:rsidRPr="000847C0" w:rsidRDefault="00E71AA9" w:rsidP="0006720B">
            <w:pPr>
              <w:shd w:val="clear" w:color="auto" w:fill="FFFFFF"/>
              <w:ind w:firstLine="567"/>
              <w:jc w:val="both"/>
              <w:rPr>
                <w:b/>
                <w:sz w:val="22"/>
                <w:szCs w:val="22"/>
              </w:rPr>
            </w:pPr>
            <w:r w:rsidRPr="002542DE">
              <w:rPr>
                <w:sz w:val="22"/>
                <w:szCs w:val="22"/>
                <w:lang w:eastAsia="lv-LV"/>
              </w:rPr>
              <w:t> Noteikt, ka akciju sabiedrība "Latvijas valsts meži" ieskaita valsts pamatbudžeta ieņēmumos dividenžu maksājumu 2022. gadā (par 2021. pārskata gadu) 64 procentu apmērā no pārskata gada peļņas, bet ne mazāk kā 55 893 600 </w:t>
            </w:r>
            <w:proofErr w:type="spellStart"/>
            <w:r w:rsidRPr="002542DE">
              <w:rPr>
                <w:i/>
                <w:iCs/>
                <w:sz w:val="22"/>
                <w:szCs w:val="22"/>
                <w:lang w:eastAsia="lv-LV"/>
              </w:rPr>
              <w:t>euro</w:t>
            </w:r>
            <w:proofErr w:type="spellEnd"/>
            <w:r w:rsidRPr="002542DE">
              <w:rPr>
                <w:sz w:val="22"/>
                <w:szCs w:val="22"/>
                <w:lang w:eastAsia="lv-LV"/>
              </w:rPr>
              <w:t> un 2023. gadā (par 2022. pārskata gadu) 64 procentu apmērā no pārskata gada peļņas, bet ne mazāk kā 31 821 920 </w:t>
            </w:r>
            <w:proofErr w:type="spellStart"/>
            <w:r w:rsidRPr="002542DE">
              <w:rPr>
                <w:i/>
                <w:iCs/>
                <w:sz w:val="22"/>
                <w:szCs w:val="22"/>
                <w:lang w:eastAsia="lv-LV"/>
              </w:rPr>
              <w:t>euro</w:t>
            </w:r>
            <w:proofErr w:type="spellEnd"/>
            <w:r w:rsidRPr="002542DE">
              <w:rPr>
                <w:sz w:val="22"/>
                <w:szCs w:val="22"/>
                <w:lang w:eastAsia="lv-LV"/>
              </w:rPr>
              <w:t> uzņēmumu ienākuma nodokli aprēķinot un nomaksājot uzņēmumu ienākuma nodokli regulējošos normatīvos aktos noteiktajā kārtībā.</w:t>
            </w:r>
          </w:p>
        </w:tc>
        <w:tc>
          <w:tcPr>
            <w:tcW w:w="644" w:type="dxa"/>
          </w:tcPr>
          <w:p w14:paraId="104D4E76" w14:textId="77777777" w:rsidR="00600AD6" w:rsidRPr="00D21B94" w:rsidRDefault="00600AD6" w:rsidP="00EA09BE">
            <w:pPr>
              <w:jc w:val="center"/>
              <w:rPr>
                <w:b/>
                <w:sz w:val="22"/>
                <w:szCs w:val="22"/>
              </w:rPr>
            </w:pPr>
          </w:p>
        </w:tc>
        <w:tc>
          <w:tcPr>
            <w:tcW w:w="5168" w:type="dxa"/>
          </w:tcPr>
          <w:p w14:paraId="00C7CFF3" w14:textId="77777777" w:rsidR="00600AD6" w:rsidRPr="00491B19" w:rsidRDefault="00600AD6" w:rsidP="00AD07E7">
            <w:pPr>
              <w:ind w:firstLine="567"/>
              <w:jc w:val="both"/>
              <w:rPr>
                <w:b/>
                <w:sz w:val="22"/>
                <w:szCs w:val="22"/>
                <w:u w:val="single"/>
              </w:rPr>
            </w:pPr>
          </w:p>
        </w:tc>
        <w:tc>
          <w:tcPr>
            <w:tcW w:w="1451" w:type="dxa"/>
          </w:tcPr>
          <w:p w14:paraId="0C8150E8" w14:textId="77777777" w:rsidR="00600AD6" w:rsidRPr="00FF6492" w:rsidRDefault="00600AD6" w:rsidP="008C4B57">
            <w:pPr>
              <w:jc w:val="center"/>
              <w:rPr>
                <w:b/>
                <w:sz w:val="22"/>
                <w:szCs w:val="22"/>
              </w:rPr>
            </w:pPr>
          </w:p>
        </w:tc>
        <w:tc>
          <w:tcPr>
            <w:tcW w:w="1260" w:type="dxa"/>
          </w:tcPr>
          <w:p w14:paraId="58098D87" w14:textId="77777777" w:rsidR="000435A6" w:rsidRPr="008B6465" w:rsidRDefault="000435A6" w:rsidP="008B6465">
            <w:pPr>
              <w:jc w:val="both"/>
              <w:rPr>
                <w:b/>
                <w:sz w:val="22"/>
                <w:szCs w:val="22"/>
              </w:rPr>
            </w:pPr>
          </w:p>
        </w:tc>
      </w:tr>
      <w:tr w:rsidR="00EF65A0" w:rsidRPr="008B6465" w14:paraId="50893B3E" w14:textId="77777777" w:rsidTr="005251F3">
        <w:tc>
          <w:tcPr>
            <w:tcW w:w="6516" w:type="dxa"/>
          </w:tcPr>
          <w:p w14:paraId="3F2F73F6" w14:textId="77777777" w:rsidR="00E71AA9" w:rsidRPr="002542DE" w:rsidRDefault="00E71AA9" w:rsidP="0006720B">
            <w:pPr>
              <w:shd w:val="clear" w:color="auto" w:fill="FFFFFF"/>
              <w:ind w:firstLine="567"/>
              <w:jc w:val="both"/>
              <w:rPr>
                <w:sz w:val="22"/>
                <w:szCs w:val="22"/>
                <w:lang w:eastAsia="lv-LV"/>
              </w:rPr>
            </w:pPr>
            <w:r w:rsidRPr="002542DE">
              <w:rPr>
                <w:b/>
                <w:bCs/>
                <w:sz w:val="22"/>
                <w:szCs w:val="22"/>
                <w:lang w:eastAsia="lv-LV"/>
              </w:rPr>
              <w:t>22.</w:t>
            </w:r>
            <w:r w:rsidRPr="002542DE">
              <w:rPr>
                <w:sz w:val="22"/>
                <w:szCs w:val="22"/>
                <w:lang w:eastAsia="lv-LV"/>
              </w:rPr>
              <w:t> </w:t>
            </w:r>
            <w:r w:rsidRPr="002542DE">
              <w:rPr>
                <w:b/>
                <w:bCs/>
                <w:sz w:val="22"/>
                <w:szCs w:val="22"/>
                <w:lang w:eastAsia="lv-LV"/>
              </w:rPr>
              <w:t>pants.</w:t>
            </w:r>
          </w:p>
          <w:p w14:paraId="1A808028" w14:textId="77777777" w:rsidR="00EF65A0" w:rsidRPr="000847C0" w:rsidRDefault="00E71AA9" w:rsidP="0006720B">
            <w:pPr>
              <w:shd w:val="clear" w:color="auto" w:fill="FFFFFF"/>
              <w:ind w:firstLine="567"/>
              <w:jc w:val="both"/>
              <w:rPr>
                <w:b/>
                <w:bCs/>
                <w:sz w:val="22"/>
                <w:szCs w:val="22"/>
              </w:rPr>
            </w:pPr>
            <w:r w:rsidRPr="002542DE">
              <w:rPr>
                <w:sz w:val="22"/>
                <w:szCs w:val="22"/>
                <w:lang w:eastAsia="lv-LV"/>
              </w:rPr>
              <w:t xml:space="preserve"> Noteikt, ka akciju sabiedrība "Augstsprieguma tīkls" ieskaita valsts pamatbudžeta ieņēmumos dividenžu maksājumu 2022. gadā (par </w:t>
            </w:r>
            <w:r w:rsidRPr="002542DE">
              <w:rPr>
                <w:sz w:val="22"/>
                <w:szCs w:val="22"/>
                <w:lang w:eastAsia="lv-LV"/>
              </w:rPr>
              <w:lastRenderedPageBreak/>
              <w:t>2021. pārskata gadu) 64 procentu apmērā no pārskata gada peļņas, bet ne mazāk kā 10 314 534 </w:t>
            </w:r>
            <w:proofErr w:type="spellStart"/>
            <w:r w:rsidRPr="002542DE">
              <w:rPr>
                <w:i/>
                <w:iCs/>
                <w:sz w:val="22"/>
                <w:szCs w:val="22"/>
                <w:lang w:eastAsia="lv-LV"/>
              </w:rPr>
              <w:t>euro</w:t>
            </w:r>
            <w:proofErr w:type="spellEnd"/>
            <w:r w:rsidRPr="002542DE">
              <w:rPr>
                <w:sz w:val="22"/>
                <w:szCs w:val="22"/>
                <w:lang w:eastAsia="lv-LV"/>
              </w:rPr>
              <w:t> un 2023. gadā (par 2022. pārskata gadu) 64 procentu apmērā no pārskata gada peļņas, bet ne mazāk kā 11 628 557 </w:t>
            </w:r>
            <w:proofErr w:type="spellStart"/>
            <w:r w:rsidRPr="002542DE">
              <w:rPr>
                <w:i/>
                <w:iCs/>
                <w:sz w:val="22"/>
                <w:szCs w:val="22"/>
                <w:lang w:eastAsia="lv-LV"/>
              </w:rPr>
              <w:t>euro</w:t>
            </w:r>
            <w:proofErr w:type="spellEnd"/>
            <w:r w:rsidRPr="002542DE">
              <w:rPr>
                <w:sz w:val="22"/>
                <w:szCs w:val="22"/>
                <w:lang w:eastAsia="lv-LV"/>
              </w:rPr>
              <w:t>, uzņēmumu ienākuma nodokli aprēķinot un nomaksājot uzņēmumu ienākuma nodokli regulējošos normatīvos aktos noteiktajā kārtībā.</w:t>
            </w:r>
          </w:p>
        </w:tc>
        <w:tc>
          <w:tcPr>
            <w:tcW w:w="644" w:type="dxa"/>
          </w:tcPr>
          <w:p w14:paraId="4EC15107" w14:textId="77777777" w:rsidR="00CA3ADC" w:rsidRPr="00D21B94" w:rsidRDefault="00CA3ADC" w:rsidP="005430B7">
            <w:pPr>
              <w:jc w:val="center"/>
              <w:rPr>
                <w:b/>
                <w:sz w:val="22"/>
                <w:szCs w:val="22"/>
              </w:rPr>
            </w:pPr>
          </w:p>
        </w:tc>
        <w:tc>
          <w:tcPr>
            <w:tcW w:w="5168" w:type="dxa"/>
          </w:tcPr>
          <w:p w14:paraId="694E52DB" w14:textId="77777777" w:rsidR="00EF65A0" w:rsidRPr="00491B19" w:rsidRDefault="00EF65A0" w:rsidP="001E02AA">
            <w:pPr>
              <w:ind w:firstLine="567"/>
              <w:jc w:val="both"/>
              <w:rPr>
                <w:b/>
                <w:sz w:val="22"/>
                <w:szCs w:val="22"/>
              </w:rPr>
            </w:pPr>
          </w:p>
        </w:tc>
        <w:tc>
          <w:tcPr>
            <w:tcW w:w="1451" w:type="dxa"/>
          </w:tcPr>
          <w:p w14:paraId="7CCD892D" w14:textId="77777777" w:rsidR="00EF65A0" w:rsidRPr="00056CE7" w:rsidRDefault="00EF65A0" w:rsidP="008C4B57">
            <w:pPr>
              <w:jc w:val="center"/>
              <w:rPr>
                <w:sz w:val="22"/>
                <w:szCs w:val="22"/>
              </w:rPr>
            </w:pPr>
          </w:p>
        </w:tc>
        <w:tc>
          <w:tcPr>
            <w:tcW w:w="1260" w:type="dxa"/>
          </w:tcPr>
          <w:p w14:paraId="74147995" w14:textId="77777777" w:rsidR="00EF65A0" w:rsidRPr="008B6465" w:rsidRDefault="00EF65A0" w:rsidP="008B6465">
            <w:pPr>
              <w:jc w:val="both"/>
              <w:rPr>
                <w:b/>
                <w:sz w:val="22"/>
                <w:szCs w:val="22"/>
              </w:rPr>
            </w:pPr>
          </w:p>
        </w:tc>
      </w:tr>
      <w:tr w:rsidR="00641B8C" w:rsidRPr="008B6465" w14:paraId="75E62EFD" w14:textId="77777777" w:rsidTr="005251F3">
        <w:tc>
          <w:tcPr>
            <w:tcW w:w="6516" w:type="dxa"/>
          </w:tcPr>
          <w:p w14:paraId="3BB2ABF1" w14:textId="77777777" w:rsidR="00E71AA9" w:rsidRPr="002542DE" w:rsidRDefault="00E71AA9" w:rsidP="0006720B">
            <w:pPr>
              <w:shd w:val="clear" w:color="auto" w:fill="FFFFFF"/>
              <w:ind w:firstLine="567"/>
              <w:jc w:val="both"/>
              <w:rPr>
                <w:sz w:val="22"/>
                <w:szCs w:val="22"/>
                <w:lang w:eastAsia="lv-LV"/>
              </w:rPr>
            </w:pPr>
            <w:r w:rsidRPr="002542DE">
              <w:rPr>
                <w:b/>
                <w:bCs/>
                <w:sz w:val="22"/>
                <w:szCs w:val="22"/>
                <w:lang w:eastAsia="lv-LV"/>
              </w:rPr>
              <w:t>23.</w:t>
            </w:r>
            <w:r w:rsidRPr="002542DE">
              <w:rPr>
                <w:sz w:val="22"/>
                <w:szCs w:val="22"/>
                <w:lang w:eastAsia="lv-LV"/>
              </w:rPr>
              <w:t> </w:t>
            </w:r>
            <w:r w:rsidRPr="002542DE">
              <w:rPr>
                <w:b/>
                <w:bCs/>
                <w:sz w:val="22"/>
                <w:szCs w:val="22"/>
                <w:lang w:eastAsia="lv-LV"/>
              </w:rPr>
              <w:t>pants.</w:t>
            </w:r>
          </w:p>
          <w:p w14:paraId="507AFE0A" w14:textId="77777777" w:rsidR="00641B8C" w:rsidRPr="000847C0" w:rsidRDefault="00E71AA9" w:rsidP="0006720B">
            <w:pPr>
              <w:shd w:val="clear" w:color="auto" w:fill="FFFFFF"/>
              <w:ind w:firstLine="567"/>
              <w:jc w:val="both"/>
              <w:rPr>
                <w:b/>
                <w:sz w:val="22"/>
                <w:szCs w:val="22"/>
              </w:rPr>
            </w:pPr>
            <w:r w:rsidRPr="002542DE">
              <w:rPr>
                <w:sz w:val="22"/>
                <w:szCs w:val="22"/>
                <w:lang w:eastAsia="lv-LV"/>
              </w:rPr>
              <w:t> Noteikt, ka akciju sabiedrība "Latvijas Loto " ieskaita valsts pamatbudžeta ieņēmumos dividenžu maksājumu 2022. gadā (par 2021. pārskata gadu) 64 procentu apmērā no pārskata gada peļņas, bet ne mazāk kā 5 289 075 </w:t>
            </w:r>
            <w:proofErr w:type="spellStart"/>
            <w:r w:rsidRPr="002542DE">
              <w:rPr>
                <w:i/>
                <w:iCs/>
                <w:sz w:val="22"/>
                <w:szCs w:val="22"/>
                <w:lang w:eastAsia="lv-LV"/>
              </w:rPr>
              <w:t>euro</w:t>
            </w:r>
            <w:proofErr w:type="spellEnd"/>
            <w:r w:rsidRPr="002542DE">
              <w:rPr>
                <w:sz w:val="22"/>
                <w:szCs w:val="22"/>
                <w:lang w:eastAsia="lv-LV"/>
              </w:rPr>
              <w:t>, 2023. gadā (par 2022. pārskata gadu) 64 procentu apmērā no pārskata gada peļņas, bet ne mazāk kā 5 448 000 </w:t>
            </w:r>
            <w:proofErr w:type="spellStart"/>
            <w:r w:rsidRPr="002542DE">
              <w:rPr>
                <w:i/>
                <w:iCs/>
                <w:sz w:val="22"/>
                <w:szCs w:val="22"/>
                <w:lang w:eastAsia="lv-LV"/>
              </w:rPr>
              <w:t>euro</w:t>
            </w:r>
            <w:proofErr w:type="spellEnd"/>
            <w:r w:rsidRPr="002542DE">
              <w:rPr>
                <w:sz w:val="22"/>
                <w:szCs w:val="22"/>
                <w:lang w:eastAsia="lv-LV"/>
              </w:rPr>
              <w:t> un 2024. gadā (par 2023. pārskata gadu) 64 procentu apmērā no pārskata gada peļņas, bet ne mazāk kā 5 640 000 </w:t>
            </w:r>
            <w:proofErr w:type="spellStart"/>
            <w:r w:rsidRPr="002542DE">
              <w:rPr>
                <w:i/>
                <w:iCs/>
                <w:sz w:val="22"/>
                <w:szCs w:val="22"/>
                <w:lang w:eastAsia="lv-LV"/>
              </w:rPr>
              <w:t>euro</w:t>
            </w:r>
            <w:proofErr w:type="spellEnd"/>
            <w:r w:rsidRPr="002542DE">
              <w:rPr>
                <w:sz w:val="22"/>
                <w:szCs w:val="22"/>
                <w:lang w:eastAsia="lv-LV"/>
              </w:rPr>
              <w:t>, uzņēmumu ienākuma nodokli aprēķinot un nomaksājot uzņēmumu ienākuma nodokli regulējošos normatīvos aktos noteiktajā kārtībā.</w:t>
            </w:r>
          </w:p>
        </w:tc>
        <w:tc>
          <w:tcPr>
            <w:tcW w:w="644" w:type="dxa"/>
          </w:tcPr>
          <w:p w14:paraId="19709609" w14:textId="77777777" w:rsidR="00641B8C" w:rsidRPr="00D21B94" w:rsidRDefault="00641B8C" w:rsidP="00EA09BE">
            <w:pPr>
              <w:jc w:val="center"/>
              <w:rPr>
                <w:b/>
                <w:sz w:val="22"/>
                <w:szCs w:val="22"/>
              </w:rPr>
            </w:pPr>
          </w:p>
        </w:tc>
        <w:tc>
          <w:tcPr>
            <w:tcW w:w="5168" w:type="dxa"/>
          </w:tcPr>
          <w:p w14:paraId="0F3886ED" w14:textId="77777777" w:rsidR="00641B8C" w:rsidRPr="00641B8C" w:rsidRDefault="00641B8C" w:rsidP="00641B8C">
            <w:pPr>
              <w:ind w:firstLine="567"/>
              <w:jc w:val="both"/>
              <w:rPr>
                <w:b/>
                <w:i/>
                <w:sz w:val="22"/>
                <w:szCs w:val="22"/>
                <w:u w:val="single"/>
              </w:rPr>
            </w:pPr>
          </w:p>
        </w:tc>
        <w:tc>
          <w:tcPr>
            <w:tcW w:w="1451" w:type="dxa"/>
          </w:tcPr>
          <w:p w14:paraId="069CF9A8" w14:textId="77777777" w:rsidR="00641B8C" w:rsidRPr="00FF6492" w:rsidRDefault="00641B8C" w:rsidP="00653B73">
            <w:pPr>
              <w:jc w:val="center"/>
              <w:rPr>
                <w:b/>
                <w:sz w:val="22"/>
                <w:szCs w:val="22"/>
              </w:rPr>
            </w:pPr>
          </w:p>
        </w:tc>
        <w:tc>
          <w:tcPr>
            <w:tcW w:w="1260" w:type="dxa"/>
          </w:tcPr>
          <w:p w14:paraId="4F22676A" w14:textId="77777777" w:rsidR="00641B8C" w:rsidRPr="008B6465" w:rsidRDefault="00641B8C" w:rsidP="008B6465">
            <w:pPr>
              <w:jc w:val="both"/>
              <w:rPr>
                <w:sz w:val="22"/>
                <w:szCs w:val="22"/>
              </w:rPr>
            </w:pPr>
          </w:p>
        </w:tc>
      </w:tr>
      <w:tr w:rsidR="00B04A56" w:rsidRPr="008B6465" w14:paraId="61B4C4DD" w14:textId="77777777" w:rsidTr="005251F3">
        <w:tc>
          <w:tcPr>
            <w:tcW w:w="6516" w:type="dxa"/>
          </w:tcPr>
          <w:p w14:paraId="1AA585D1" w14:textId="77777777" w:rsidR="00E71AA9" w:rsidRPr="002542DE" w:rsidRDefault="00E71AA9" w:rsidP="0006720B">
            <w:pPr>
              <w:shd w:val="clear" w:color="auto" w:fill="FFFFFF"/>
              <w:ind w:firstLine="567"/>
              <w:jc w:val="both"/>
              <w:rPr>
                <w:sz w:val="22"/>
                <w:szCs w:val="22"/>
                <w:lang w:eastAsia="lv-LV"/>
              </w:rPr>
            </w:pPr>
            <w:r w:rsidRPr="002542DE">
              <w:rPr>
                <w:b/>
                <w:bCs/>
                <w:sz w:val="22"/>
                <w:szCs w:val="22"/>
                <w:lang w:eastAsia="lv-LV"/>
              </w:rPr>
              <w:t>24.</w:t>
            </w:r>
            <w:r w:rsidRPr="002542DE">
              <w:rPr>
                <w:sz w:val="22"/>
                <w:szCs w:val="22"/>
                <w:lang w:eastAsia="lv-LV"/>
              </w:rPr>
              <w:t> </w:t>
            </w:r>
            <w:r w:rsidRPr="002542DE">
              <w:rPr>
                <w:b/>
                <w:bCs/>
                <w:sz w:val="22"/>
                <w:szCs w:val="22"/>
                <w:lang w:eastAsia="lv-LV"/>
              </w:rPr>
              <w:t>pants.</w:t>
            </w:r>
          </w:p>
          <w:p w14:paraId="5B0B5799" w14:textId="77777777" w:rsidR="00B04A56" w:rsidRPr="000847C0" w:rsidRDefault="00E71AA9" w:rsidP="0006720B">
            <w:pPr>
              <w:shd w:val="clear" w:color="auto" w:fill="FFFFFF"/>
              <w:ind w:firstLine="567"/>
              <w:jc w:val="both"/>
              <w:rPr>
                <w:sz w:val="22"/>
                <w:szCs w:val="22"/>
              </w:rPr>
            </w:pPr>
            <w:r w:rsidRPr="002542DE">
              <w:rPr>
                <w:sz w:val="22"/>
                <w:szCs w:val="22"/>
                <w:lang w:eastAsia="lv-LV"/>
              </w:rPr>
              <w:t> Noteikt, ka valsts akciju sabiedrība "Latvijas Valsts radio un televīzijas centrs" ieskaita valsts pamatbudžeta ieņēmumos dividenžu maksājumu 2022. gadā (par 2021. pārskata gadu) 64 procentu apmērā no pārskata gada peļņas, bet ne mazāk kā 2 200 287 </w:t>
            </w:r>
            <w:proofErr w:type="spellStart"/>
            <w:r w:rsidRPr="002542DE">
              <w:rPr>
                <w:i/>
                <w:iCs/>
                <w:sz w:val="22"/>
                <w:szCs w:val="22"/>
                <w:lang w:eastAsia="lv-LV"/>
              </w:rPr>
              <w:t>euro</w:t>
            </w:r>
            <w:proofErr w:type="spellEnd"/>
            <w:r w:rsidRPr="002542DE">
              <w:rPr>
                <w:sz w:val="22"/>
                <w:szCs w:val="22"/>
                <w:lang w:eastAsia="lv-LV"/>
              </w:rPr>
              <w:t> un 2023. gadā (par 2022. pārskata gadu) 64 procentu apmērā no pārskata gada peļņas, bet ne mazāk kā 1 593 969</w:t>
            </w:r>
            <w:r w:rsidRPr="002542DE">
              <w:rPr>
                <w:i/>
                <w:iCs/>
                <w:sz w:val="22"/>
                <w:szCs w:val="22"/>
                <w:lang w:eastAsia="lv-LV"/>
              </w:rPr>
              <w:t> </w:t>
            </w:r>
            <w:proofErr w:type="spellStart"/>
            <w:r w:rsidRPr="002542DE">
              <w:rPr>
                <w:i/>
                <w:iCs/>
                <w:sz w:val="22"/>
                <w:szCs w:val="22"/>
                <w:lang w:eastAsia="lv-LV"/>
              </w:rPr>
              <w:t>euro</w:t>
            </w:r>
            <w:proofErr w:type="spellEnd"/>
            <w:r w:rsidRPr="002542DE">
              <w:rPr>
                <w:sz w:val="22"/>
                <w:szCs w:val="22"/>
                <w:lang w:eastAsia="lv-LV"/>
              </w:rPr>
              <w:t>, uzņēmumu ienākuma nodokli aprēķinot un nomaksājot uzņēmumu ienākuma nodokli regulējošos normatīvos aktos noteiktajā kārtībā.</w:t>
            </w:r>
          </w:p>
        </w:tc>
        <w:tc>
          <w:tcPr>
            <w:tcW w:w="644" w:type="dxa"/>
          </w:tcPr>
          <w:p w14:paraId="5D2C7D05" w14:textId="77777777" w:rsidR="00653B73" w:rsidRPr="00D21B94" w:rsidRDefault="00653B73" w:rsidP="00EA09BE">
            <w:pPr>
              <w:jc w:val="center"/>
              <w:rPr>
                <w:b/>
                <w:sz w:val="22"/>
                <w:szCs w:val="22"/>
              </w:rPr>
            </w:pPr>
          </w:p>
        </w:tc>
        <w:tc>
          <w:tcPr>
            <w:tcW w:w="5168" w:type="dxa"/>
          </w:tcPr>
          <w:p w14:paraId="0EC50D00" w14:textId="77777777" w:rsidR="00653B73" w:rsidRPr="00491B19" w:rsidRDefault="00653B73" w:rsidP="00491B19">
            <w:pPr>
              <w:ind w:firstLine="567"/>
              <w:jc w:val="both"/>
              <w:rPr>
                <w:b/>
                <w:i/>
                <w:sz w:val="22"/>
                <w:szCs w:val="22"/>
                <w:u w:val="single"/>
              </w:rPr>
            </w:pPr>
          </w:p>
        </w:tc>
        <w:tc>
          <w:tcPr>
            <w:tcW w:w="1451" w:type="dxa"/>
          </w:tcPr>
          <w:p w14:paraId="389066DB" w14:textId="77777777" w:rsidR="00B04A56" w:rsidRPr="00FF6492" w:rsidRDefault="00B04A56" w:rsidP="00653B73">
            <w:pPr>
              <w:jc w:val="center"/>
              <w:rPr>
                <w:b/>
                <w:sz w:val="22"/>
                <w:szCs w:val="22"/>
              </w:rPr>
            </w:pPr>
          </w:p>
        </w:tc>
        <w:tc>
          <w:tcPr>
            <w:tcW w:w="1260" w:type="dxa"/>
          </w:tcPr>
          <w:p w14:paraId="16C6BFB2" w14:textId="77777777" w:rsidR="00B04A56" w:rsidRPr="008B6465" w:rsidRDefault="00B04A56" w:rsidP="008B6465">
            <w:pPr>
              <w:jc w:val="both"/>
              <w:rPr>
                <w:sz w:val="22"/>
                <w:szCs w:val="22"/>
              </w:rPr>
            </w:pPr>
          </w:p>
        </w:tc>
      </w:tr>
      <w:tr w:rsidR="00431579" w:rsidRPr="00635E31" w14:paraId="23FF7FBF" w14:textId="77777777" w:rsidTr="005251F3">
        <w:tc>
          <w:tcPr>
            <w:tcW w:w="6516" w:type="dxa"/>
          </w:tcPr>
          <w:p w14:paraId="6EF12AC6" w14:textId="77777777" w:rsidR="00E71AA9" w:rsidRPr="002542DE" w:rsidRDefault="00E71AA9" w:rsidP="0006720B">
            <w:pPr>
              <w:shd w:val="clear" w:color="auto" w:fill="FFFFFF"/>
              <w:ind w:firstLine="567"/>
              <w:jc w:val="both"/>
              <w:rPr>
                <w:sz w:val="22"/>
                <w:szCs w:val="22"/>
                <w:lang w:eastAsia="lv-LV"/>
              </w:rPr>
            </w:pPr>
            <w:r w:rsidRPr="002542DE">
              <w:rPr>
                <w:b/>
                <w:bCs/>
                <w:sz w:val="22"/>
                <w:szCs w:val="22"/>
                <w:lang w:eastAsia="lv-LV"/>
              </w:rPr>
              <w:t>25.</w:t>
            </w:r>
            <w:r w:rsidRPr="002542DE">
              <w:rPr>
                <w:sz w:val="22"/>
                <w:szCs w:val="22"/>
                <w:lang w:eastAsia="lv-LV"/>
              </w:rPr>
              <w:t> </w:t>
            </w:r>
            <w:r w:rsidRPr="002542DE">
              <w:rPr>
                <w:b/>
                <w:bCs/>
                <w:sz w:val="22"/>
                <w:szCs w:val="22"/>
                <w:lang w:eastAsia="lv-LV"/>
              </w:rPr>
              <w:t>pants.</w:t>
            </w:r>
          </w:p>
          <w:p w14:paraId="3502DBA0" w14:textId="77777777" w:rsidR="00431579" w:rsidRDefault="00E71AA9" w:rsidP="0006720B">
            <w:pPr>
              <w:shd w:val="clear" w:color="auto" w:fill="FFFFFF"/>
              <w:ind w:firstLine="567"/>
              <w:jc w:val="both"/>
              <w:rPr>
                <w:sz w:val="22"/>
                <w:szCs w:val="22"/>
                <w:lang w:eastAsia="lv-LV"/>
              </w:rPr>
            </w:pPr>
            <w:r w:rsidRPr="002542DE">
              <w:rPr>
                <w:sz w:val="22"/>
                <w:szCs w:val="22"/>
                <w:lang w:eastAsia="lv-LV"/>
              </w:rPr>
              <w:t> Ministru kabinets, sagatavojot likumprojektu par valsts budžetu 2023. gadam un likumprojektu par vidēja termiņa budžeta ietvaru 2023., 2024. un 2025. gadam, paredz nepieciešamo līdzfinansējumu (30 procentu apmērā) pašvaldību garantētā minimālā ienākuma pabalsta un mājokļa pabalsta izmaksai, nodrošinot likumā noteikto fiskālo nosacījumu ievērošanu.</w:t>
            </w:r>
          </w:p>
          <w:p w14:paraId="49B05FF7" w14:textId="77777777" w:rsidR="006542F6" w:rsidRDefault="006542F6" w:rsidP="0006720B">
            <w:pPr>
              <w:shd w:val="clear" w:color="auto" w:fill="FFFFFF"/>
              <w:ind w:firstLine="567"/>
              <w:jc w:val="both"/>
              <w:rPr>
                <w:sz w:val="22"/>
                <w:szCs w:val="22"/>
                <w:lang w:eastAsia="lv-LV"/>
              </w:rPr>
            </w:pPr>
          </w:p>
          <w:p w14:paraId="0E5E7494" w14:textId="77777777" w:rsidR="006542F6" w:rsidRDefault="006542F6" w:rsidP="0006720B">
            <w:pPr>
              <w:shd w:val="clear" w:color="auto" w:fill="FFFFFF"/>
              <w:ind w:firstLine="567"/>
              <w:jc w:val="both"/>
              <w:rPr>
                <w:sz w:val="22"/>
                <w:szCs w:val="22"/>
                <w:lang w:eastAsia="lv-LV"/>
              </w:rPr>
            </w:pPr>
          </w:p>
          <w:p w14:paraId="58AB102E" w14:textId="77777777" w:rsidR="006542F6" w:rsidRPr="000847C0" w:rsidRDefault="006542F6" w:rsidP="0006720B">
            <w:pPr>
              <w:shd w:val="clear" w:color="auto" w:fill="FFFFFF"/>
              <w:ind w:firstLine="567"/>
              <w:jc w:val="both"/>
              <w:rPr>
                <w:color w:val="FF0000"/>
                <w:sz w:val="22"/>
                <w:szCs w:val="22"/>
              </w:rPr>
            </w:pPr>
          </w:p>
        </w:tc>
        <w:tc>
          <w:tcPr>
            <w:tcW w:w="644" w:type="dxa"/>
          </w:tcPr>
          <w:p w14:paraId="35989A51" w14:textId="77777777" w:rsidR="00431579" w:rsidRPr="00635E31" w:rsidRDefault="00431579" w:rsidP="00F275E3">
            <w:pPr>
              <w:jc w:val="center"/>
              <w:rPr>
                <w:b/>
                <w:color w:val="FF0000"/>
                <w:sz w:val="22"/>
                <w:szCs w:val="22"/>
              </w:rPr>
            </w:pPr>
          </w:p>
        </w:tc>
        <w:tc>
          <w:tcPr>
            <w:tcW w:w="5168" w:type="dxa"/>
          </w:tcPr>
          <w:p w14:paraId="3A64D497" w14:textId="77777777" w:rsidR="00431579" w:rsidRPr="00635E31" w:rsidRDefault="00431579" w:rsidP="00431579">
            <w:pPr>
              <w:ind w:firstLine="567"/>
              <w:jc w:val="both"/>
              <w:rPr>
                <w:b/>
                <w:color w:val="FF0000"/>
                <w:sz w:val="22"/>
                <w:szCs w:val="22"/>
                <w:u w:val="single"/>
              </w:rPr>
            </w:pPr>
          </w:p>
        </w:tc>
        <w:tc>
          <w:tcPr>
            <w:tcW w:w="1451" w:type="dxa"/>
          </w:tcPr>
          <w:p w14:paraId="493C836A" w14:textId="77777777" w:rsidR="00431579" w:rsidRPr="00635E31" w:rsidRDefault="00431579" w:rsidP="00F275E3">
            <w:pPr>
              <w:jc w:val="center"/>
              <w:rPr>
                <w:b/>
                <w:color w:val="FF0000"/>
                <w:sz w:val="22"/>
                <w:szCs w:val="22"/>
              </w:rPr>
            </w:pPr>
          </w:p>
        </w:tc>
        <w:tc>
          <w:tcPr>
            <w:tcW w:w="1260" w:type="dxa"/>
          </w:tcPr>
          <w:p w14:paraId="318A5C31" w14:textId="77777777" w:rsidR="00431579" w:rsidRPr="00635E31" w:rsidRDefault="00431579" w:rsidP="00F275E3">
            <w:pPr>
              <w:jc w:val="both"/>
              <w:rPr>
                <w:color w:val="FF0000"/>
                <w:sz w:val="22"/>
                <w:szCs w:val="22"/>
              </w:rPr>
            </w:pPr>
          </w:p>
        </w:tc>
      </w:tr>
      <w:tr w:rsidR="00137E08" w:rsidRPr="00635E31" w14:paraId="5E4F891F" w14:textId="77777777" w:rsidTr="005251F3">
        <w:tc>
          <w:tcPr>
            <w:tcW w:w="6516" w:type="dxa"/>
          </w:tcPr>
          <w:p w14:paraId="1BD481DB" w14:textId="77777777" w:rsidR="00137E08" w:rsidRPr="002542DE" w:rsidRDefault="00137E08" w:rsidP="0006720B">
            <w:pPr>
              <w:shd w:val="clear" w:color="auto" w:fill="FFFFFF"/>
              <w:ind w:firstLine="567"/>
              <w:jc w:val="both"/>
              <w:rPr>
                <w:b/>
                <w:bCs/>
                <w:sz w:val="22"/>
                <w:szCs w:val="22"/>
                <w:lang w:eastAsia="lv-LV"/>
              </w:rPr>
            </w:pPr>
          </w:p>
        </w:tc>
        <w:tc>
          <w:tcPr>
            <w:tcW w:w="644" w:type="dxa"/>
          </w:tcPr>
          <w:p w14:paraId="42865C44" w14:textId="77777777" w:rsidR="00137E08" w:rsidRPr="00635E31" w:rsidRDefault="00333C8E" w:rsidP="00F275E3">
            <w:pPr>
              <w:jc w:val="center"/>
              <w:rPr>
                <w:b/>
                <w:color w:val="FF0000"/>
                <w:sz w:val="22"/>
                <w:szCs w:val="22"/>
              </w:rPr>
            </w:pPr>
            <w:r>
              <w:rPr>
                <w:b/>
                <w:sz w:val="22"/>
                <w:szCs w:val="22"/>
              </w:rPr>
              <w:t>3</w:t>
            </w:r>
          </w:p>
        </w:tc>
        <w:tc>
          <w:tcPr>
            <w:tcW w:w="5168" w:type="dxa"/>
          </w:tcPr>
          <w:p w14:paraId="378E6EE6" w14:textId="77777777" w:rsidR="00137E08" w:rsidRPr="00137E08" w:rsidRDefault="00137E08" w:rsidP="00137E08">
            <w:pPr>
              <w:ind w:firstLine="567"/>
              <w:jc w:val="both"/>
              <w:rPr>
                <w:b/>
                <w:sz w:val="22"/>
                <w:szCs w:val="22"/>
                <w:u w:val="single"/>
              </w:rPr>
            </w:pPr>
            <w:r w:rsidRPr="00137E08">
              <w:rPr>
                <w:b/>
                <w:sz w:val="22"/>
                <w:szCs w:val="22"/>
                <w:u w:val="single"/>
              </w:rPr>
              <w:t xml:space="preserve">Deputāts </w:t>
            </w:r>
            <w:proofErr w:type="spellStart"/>
            <w:r w:rsidRPr="00137E08">
              <w:rPr>
                <w:b/>
                <w:sz w:val="22"/>
                <w:szCs w:val="22"/>
                <w:u w:val="single"/>
              </w:rPr>
              <w:t>R.Nemiro</w:t>
            </w:r>
            <w:proofErr w:type="spellEnd"/>
          </w:p>
          <w:p w14:paraId="6E41515B" w14:textId="77777777" w:rsidR="00137E08" w:rsidRPr="00137E08" w:rsidRDefault="00137E08" w:rsidP="00137E08">
            <w:pPr>
              <w:ind w:firstLine="567"/>
              <w:jc w:val="both"/>
              <w:rPr>
                <w:sz w:val="22"/>
                <w:szCs w:val="22"/>
              </w:rPr>
            </w:pPr>
            <w:r w:rsidRPr="00137E08">
              <w:rPr>
                <w:sz w:val="22"/>
                <w:szCs w:val="22"/>
              </w:rPr>
              <w:t>Papildināt likumu ar 26. pantu šādā redakcijā:</w:t>
            </w:r>
          </w:p>
          <w:p w14:paraId="5ADB0E29" w14:textId="77777777" w:rsidR="00137E08" w:rsidRPr="00137E08" w:rsidRDefault="00137E08" w:rsidP="00137E08">
            <w:pPr>
              <w:ind w:firstLine="567"/>
              <w:jc w:val="both"/>
              <w:rPr>
                <w:b/>
                <w:sz w:val="22"/>
                <w:szCs w:val="22"/>
                <w:u w:val="single"/>
              </w:rPr>
            </w:pPr>
            <w:r w:rsidRPr="00137E08">
              <w:rPr>
                <w:sz w:val="22"/>
                <w:szCs w:val="22"/>
              </w:rPr>
              <w:t>"</w:t>
            </w:r>
            <w:r w:rsidRPr="00137E08">
              <w:rPr>
                <w:b/>
                <w:sz w:val="22"/>
                <w:szCs w:val="22"/>
              </w:rPr>
              <w:t>26. pants.</w:t>
            </w:r>
            <w:r w:rsidRPr="00137E08">
              <w:rPr>
                <w:sz w:val="22"/>
                <w:szCs w:val="22"/>
              </w:rPr>
              <w:t xml:space="preserve"> Ministru kabinets, sagatavojot likumprojektu par valsts budžetu 2023. gadam un likumprojektu par vidēja termiņa budžeta ietvaru 2023., 2024. un 2025. gadam paredz, ka vispārējās valdības budžeta strukturālā bilance nav mazāka par 0."</w:t>
            </w:r>
          </w:p>
        </w:tc>
        <w:tc>
          <w:tcPr>
            <w:tcW w:w="1451" w:type="dxa"/>
          </w:tcPr>
          <w:p w14:paraId="20BB2FB6" w14:textId="2997042A" w:rsidR="00137E08" w:rsidRPr="00635E31" w:rsidRDefault="006C2A0A" w:rsidP="00F275E3">
            <w:pPr>
              <w:jc w:val="center"/>
              <w:rPr>
                <w:b/>
                <w:color w:val="FF0000"/>
                <w:sz w:val="22"/>
                <w:szCs w:val="22"/>
              </w:rPr>
            </w:pPr>
            <w:r>
              <w:rPr>
                <w:b/>
                <w:sz w:val="22"/>
                <w:szCs w:val="22"/>
              </w:rPr>
              <w:t>Neatbalstīt</w:t>
            </w:r>
          </w:p>
        </w:tc>
        <w:tc>
          <w:tcPr>
            <w:tcW w:w="1260" w:type="dxa"/>
          </w:tcPr>
          <w:p w14:paraId="48221369" w14:textId="77777777" w:rsidR="00137E08" w:rsidRPr="00635E31" w:rsidRDefault="00137E08" w:rsidP="00F275E3">
            <w:pPr>
              <w:jc w:val="both"/>
              <w:rPr>
                <w:color w:val="FF0000"/>
                <w:sz w:val="22"/>
                <w:szCs w:val="22"/>
              </w:rPr>
            </w:pPr>
          </w:p>
        </w:tc>
      </w:tr>
      <w:tr w:rsidR="00B72CAE" w:rsidRPr="008B6465" w14:paraId="31E26A28" w14:textId="77777777" w:rsidTr="005251F3">
        <w:tc>
          <w:tcPr>
            <w:tcW w:w="6516" w:type="dxa"/>
          </w:tcPr>
          <w:p w14:paraId="2C4C4C45" w14:textId="77777777" w:rsidR="00B72CAE" w:rsidRPr="002542DE" w:rsidRDefault="00B72CAE" w:rsidP="0006720B">
            <w:pPr>
              <w:shd w:val="clear" w:color="auto" w:fill="FFFFFF"/>
              <w:ind w:firstLine="567"/>
              <w:jc w:val="both"/>
              <w:rPr>
                <w:sz w:val="22"/>
                <w:szCs w:val="22"/>
                <w:lang w:eastAsia="lv-LV"/>
              </w:rPr>
            </w:pPr>
          </w:p>
        </w:tc>
        <w:tc>
          <w:tcPr>
            <w:tcW w:w="644" w:type="dxa"/>
          </w:tcPr>
          <w:p w14:paraId="0616BD06" w14:textId="77777777" w:rsidR="00B72CAE" w:rsidRPr="00D21B94" w:rsidRDefault="00333C8E" w:rsidP="00EA09BE">
            <w:pPr>
              <w:jc w:val="center"/>
              <w:rPr>
                <w:b/>
                <w:sz w:val="22"/>
                <w:szCs w:val="22"/>
              </w:rPr>
            </w:pPr>
            <w:r>
              <w:rPr>
                <w:b/>
                <w:sz w:val="22"/>
                <w:szCs w:val="22"/>
              </w:rPr>
              <w:t>4</w:t>
            </w:r>
          </w:p>
        </w:tc>
        <w:tc>
          <w:tcPr>
            <w:tcW w:w="5168" w:type="dxa"/>
          </w:tcPr>
          <w:p w14:paraId="315E4D5F" w14:textId="77777777" w:rsidR="00B72CAE" w:rsidRPr="00B72CAE" w:rsidRDefault="00B72CAE" w:rsidP="00B72CAE">
            <w:pPr>
              <w:ind w:firstLine="567"/>
              <w:jc w:val="both"/>
              <w:rPr>
                <w:b/>
                <w:sz w:val="22"/>
                <w:szCs w:val="22"/>
                <w:u w:val="single"/>
              </w:rPr>
            </w:pPr>
            <w:r w:rsidRPr="00B72CAE">
              <w:rPr>
                <w:b/>
                <w:sz w:val="22"/>
                <w:szCs w:val="22"/>
                <w:u w:val="single"/>
              </w:rPr>
              <w:t xml:space="preserve">Deputāts </w:t>
            </w:r>
            <w:proofErr w:type="spellStart"/>
            <w:r w:rsidRPr="00B72CAE">
              <w:rPr>
                <w:b/>
                <w:sz w:val="22"/>
                <w:szCs w:val="22"/>
                <w:u w:val="single"/>
              </w:rPr>
              <w:t>A.Klementjevs</w:t>
            </w:r>
            <w:proofErr w:type="spellEnd"/>
          </w:p>
          <w:p w14:paraId="09CB0637" w14:textId="77777777" w:rsidR="00B72CAE" w:rsidRPr="00B72CAE" w:rsidRDefault="00B72CAE" w:rsidP="00B72CAE">
            <w:pPr>
              <w:ind w:firstLine="567"/>
              <w:jc w:val="both"/>
              <w:rPr>
                <w:sz w:val="22"/>
                <w:szCs w:val="22"/>
              </w:rPr>
            </w:pPr>
            <w:r w:rsidRPr="00B72CAE">
              <w:rPr>
                <w:sz w:val="22"/>
                <w:szCs w:val="22"/>
              </w:rPr>
              <w:t>Papildināt likumprojektu ar jaunu pantu šādā redakcijā:</w:t>
            </w:r>
          </w:p>
          <w:p w14:paraId="4CBA1125" w14:textId="77777777" w:rsidR="00F578B2" w:rsidRPr="00B72CAE" w:rsidRDefault="00B72CAE" w:rsidP="00EF171C">
            <w:pPr>
              <w:ind w:firstLine="567"/>
              <w:jc w:val="both"/>
              <w:rPr>
                <w:b/>
                <w:sz w:val="22"/>
                <w:szCs w:val="22"/>
                <w:u w:val="single"/>
              </w:rPr>
            </w:pPr>
            <w:r w:rsidRPr="00B72CAE">
              <w:rPr>
                <w:sz w:val="22"/>
                <w:szCs w:val="22"/>
              </w:rPr>
              <w:t>“Ministru kabinets, sagatavojot likumprojektu par valsts budžetu 2023.gadam un likumprojektu par vidēja termiņa budžeta ietvaru 2023., 2024. un 2025. gadam, paredz nepieciešamo finansējumu piemaksu par apdrošināšanas stāžu, kas uzkrāts līdz 1995.gada 31.decembrim, piešķiršanai vecuma un invaliditātes pensijas saņēmējiem, kuriem pensija piešķirta pēc 2012.gada 1.janvāra, vienlaikus nodrošinot likumā noteikto fiskālo nosacījumu ievērošanu.”</w:t>
            </w:r>
          </w:p>
        </w:tc>
        <w:tc>
          <w:tcPr>
            <w:tcW w:w="1451" w:type="dxa"/>
          </w:tcPr>
          <w:p w14:paraId="193095E1" w14:textId="21879042" w:rsidR="00B72CAE" w:rsidRPr="008C4B57" w:rsidRDefault="006C2A0A" w:rsidP="008C4B57">
            <w:pPr>
              <w:jc w:val="center"/>
              <w:rPr>
                <w:b/>
                <w:sz w:val="22"/>
                <w:szCs w:val="22"/>
              </w:rPr>
            </w:pPr>
            <w:r>
              <w:rPr>
                <w:b/>
                <w:sz w:val="22"/>
                <w:szCs w:val="22"/>
              </w:rPr>
              <w:t>Neatbalstīt</w:t>
            </w:r>
          </w:p>
        </w:tc>
        <w:tc>
          <w:tcPr>
            <w:tcW w:w="1260" w:type="dxa"/>
          </w:tcPr>
          <w:p w14:paraId="77F29F9E" w14:textId="77777777" w:rsidR="00B72CAE" w:rsidRPr="008B6465" w:rsidRDefault="00B72CAE" w:rsidP="008B6465">
            <w:pPr>
              <w:jc w:val="both"/>
              <w:rPr>
                <w:sz w:val="22"/>
                <w:szCs w:val="22"/>
              </w:rPr>
            </w:pPr>
          </w:p>
        </w:tc>
      </w:tr>
      <w:tr w:rsidR="000B7734" w:rsidRPr="008B6465" w14:paraId="2DDCDCE9" w14:textId="77777777" w:rsidTr="005251F3">
        <w:tc>
          <w:tcPr>
            <w:tcW w:w="6516" w:type="dxa"/>
          </w:tcPr>
          <w:p w14:paraId="560F60D0" w14:textId="77777777" w:rsidR="000B7734" w:rsidRPr="000847C0" w:rsidRDefault="00E71AA9" w:rsidP="0006720B">
            <w:pPr>
              <w:shd w:val="clear" w:color="auto" w:fill="FFFFFF"/>
              <w:ind w:firstLine="567"/>
              <w:jc w:val="both"/>
              <w:rPr>
                <w:b/>
                <w:color w:val="000000" w:themeColor="text1"/>
                <w:sz w:val="22"/>
                <w:szCs w:val="22"/>
              </w:rPr>
            </w:pPr>
            <w:r w:rsidRPr="002542DE">
              <w:rPr>
                <w:sz w:val="22"/>
                <w:szCs w:val="22"/>
                <w:lang w:eastAsia="lv-LV"/>
              </w:rPr>
              <w:t>Likums stājas spēkā 2022. gada 1. janvārī.</w:t>
            </w:r>
          </w:p>
        </w:tc>
        <w:tc>
          <w:tcPr>
            <w:tcW w:w="644" w:type="dxa"/>
          </w:tcPr>
          <w:p w14:paraId="2701F510" w14:textId="77777777" w:rsidR="000B7734" w:rsidRPr="00D21B94" w:rsidRDefault="000B7734" w:rsidP="00EA09BE">
            <w:pPr>
              <w:jc w:val="center"/>
              <w:rPr>
                <w:b/>
                <w:sz w:val="22"/>
                <w:szCs w:val="22"/>
              </w:rPr>
            </w:pPr>
          </w:p>
        </w:tc>
        <w:tc>
          <w:tcPr>
            <w:tcW w:w="5168" w:type="dxa"/>
          </w:tcPr>
          <w:p w14:paraId="11233710" w14:textId="77777777" w:rsidR="004F6F7B" w:rsidRPr="000B7734" w:rsidRDefault="004F6F7B" w:rsidP="000B7734">
            <w:pPr>
              <w:ind w:firstLine="567"/>
              <w:jc w:val="both"/>
              <w:rPr>
                <w:b/>
                <w:sz w:val="22"/>
                <w:szCs w:val="22"/>
                <w:u w:val="single"/>
              </w:rPr>
            </w:pPr>
          </w:p>
        </w:tc>
        <w:tc>
          <w:tcPr>
            <w:tcW w:w="1451" w:type="dxa"/>
          </w:tcPr>
          <w:p w14:paraId="0F0428E6" w14:textId="77777777" w:rsidR="000B7734" w:rsidRPr="008C4B57" w:rsidRDefault="000B7734" w:rsidP="008C4B57">
            <w:pPr>
              <w:jc w:val="center"/>
              <w:rPr>
                <w:b/>
                <w:sz w:val="22"/>
                <w:szCs w:val="22"/>
              </w:rPr>
            </w:pPr>
          </w:p>
        </w:tc>
        <w:tc>
          <w:tcPr>
            <w:tcW w:w="1260" w:type="dxa"/>
          </w:tcPr>
          <w:p w14:paraId="2DA1A8FE" w14:textId="77777777" w:rsidR="000B7734" w:rsidRPr="008B6465" w:rsidRDefault="000B7734" w:rsidP="008B6465">
            <w:pPr>
              <w:jc w:val="both"/>
              <w:rPr>
                <w:sz w:val="22"/>
                <w:szCs w:val="22"/>
              </w:rPr>
            </w:pPr>
          </w:p>
        </w:tc>
      </w:tr>
    </w:tbl>
    <w:p w14:paraId="0D1398CF" w14:textId="77777777" w:rsidR="00277743" w:rsidRDefault="00277743"/>
    <w:sectPr w:rsidR="00277743" w:rsidSect="005C5FDC">
      <w:headerReference w:type="even" r:id="rId8"/>
      <w:headerReference w:type="default" r:id="rId9"/>
      <w:footerReference w:type="even" r:id="rId10"/>
      <w:footerReference w:type="default" r:id="rId11"/>
      <w:footerReference w:type="first" r:id="rId12"/>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D15F" w14:textId="77777777" w:rsidR="00EC3684" w:rsidRDefault="00EC3684">
      <w:r>
        <w:separator/>
      </w:r>
    </w:p>
  </w:endnote>
  <w:endnote w:type="continuationSeparator" w:id="0">
    <w:p w14:paraId="72B0379E" w14:textId="77777777" w:rsidR="00EC3684" w:rsidRDefault="00EC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KorinnaBR">
    <w:altName w:val="Times New Roman"/>
    <w:charset w:val="00"/>
    <w:family w:val="auto"/>
    <w:pitch w:val="variable"/>
    <w:sig w:usb0="00000001" w:usb1="00000000" w:usb2="00000000" w:usb3="00000000" w:csb0="00000003" w:csb1="00000000"/>
  </w:font>
  <w:font w:name="Korinna LRS">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B6E0" w14:textId="77777777"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14:paraId="7300810C" w14:textId="77777777" w:rsidR="00527DEB" w:rsidRDefault="00527DEB"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9A58" w14:textId="77777777"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separate"/>
    </w:r>
    <w:r w:rsidR="00650E02">
      <w:rPr>
        <w:rStyle w:val="PageNumber"/>
        <w:noProof/>
      </w:rPr>
      <w:t>2</w:t>
    </w:r>
    <w:r>
      <w:rPr>
        <w:rStyle w:val="PageNumber"/>
      </w:rPr>
      <w:fldChar w:fldCharType="end"/>
    </w:r>
  </w:p>
  <w:p w14:paraId="2D54C4A9" w14:textId="77777777" w:rsidR="00527DEB" w:rsidRPr="00CC0F55" w:rsidRDefault="00527DEB" w:rsidP="001D282E">
    <w:pPr>
      <w:pStyle w:val="Footer"/>
      <w:ind w:right="360"/>
      <w:rPr>
        <w:sz w:val="20"/>
      </w:rPr>
    </w:pPr>
  </w:p>
  <w:p w14:paraId="2809650F" w14:textId="77777777" w:rsidR="00527DEB" w:rsidRPr="008B3D42" w:rsidRDefault="00527DEB" w:rsidP="008B3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4968" w14:textId="77777777" w:rsidR="00527DEB" w:rsidRPr="008B3D42" w:rsidRDefault="00527DEB" w:rsidP="00BF51C1">
    <w:pPr>
      <w:pStyle w:val="Footer"/>
    </w:pPr>
  </w:p>
  <w:p w14:paraId="0EFAFC1E" w14:textId="77777777" w:rsidR="00527DEB" w:rsidRPr="009021A6" w:rsidRDefault="0052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9FF96" w14:textId="77777777" w:rsidR="00EC3684" w:rsidRDefault="00EC3684">
      <w:r>
        <w:separator/>
      </w:r>
    </w:p>
  </w:footnote>
  <w:footnote w:type="continuationSeparator" w:id="0">
    <w:p w14:paraId="2D718DF3" w14:textId="77777777" w:rsidR="00EC3684" w:rsidRDefault="00EC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B8A1" w14:textId="77777777" w:rsidR="00527DEB" w:rsidRDefault="00AB3087" w:rsidP="00D63D38">
    <w:pPr>
      <w:pStyle w:val="Head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14:paraId="21DFABAB" w14:textId="77777777" w:rsidR="00527DEB" w:rsidRDefault="00527D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453E" w14:textId="77777777" w:rsidR="00527DEB" w:rsidRDefault="00527D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D42B9A"/>
    <w:multiLevelType w:val="hybridMultilevel"/>
    <w:tmpl w:val="85C0BC42"/>
    <w:lvl w:ilvl="0" w:tplc="E47E64C4">
      <w:start w:val="1"/>
      <w:numFmt w:val="decimal"/>
      <w:lvlText w:val="%1."/>
      <w:lvlJc w:val="left"/>
      <w:pPr>
        <w:ind w:left="790" w:hanging="430"/>
      </w:pPr>
      <w:rPr>
        <w:rFonts w:hint="default"/>
        <w:b w:val="0"/>
        <w:bCs/>
        <w:color w:val="00000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E73B97"/>
    <w:multiLevelType w:val="hybridMultilevel"/>
    <w:tmpl w:val="7E66AFA2"/>
    <w:lvl w:ilvl="0" w:tplc="7932E3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2A0194"/>
    <w:multiLevelType w:val="hybridMultilevel"/>
    <w:tmpl w:val="F796CC30"/>
    <w:lvl w:ilvl="0" w:tplc="63CE529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8" w15:restartNumberingAfterBreak="0">
    <w:nsid w:val="276A51DD"/>
    <w:multiLevelType w:val="hybridMultilevel"/>
    <w:tmpl w:val="AE6009D4"/>
    <w:lvl w:ilvl="0" w:tplc="2CB202FA">
      <w:start w:val="1"/>
      <w:numFmt w:val="lowerLetter"/>
      <w:lvlText w:val="%1)"/>
      <w:lvlJc w:val="left"/>
      <w:pPr>
        <w:ind w:left="1080" w:hanging="360"/>
      </w:pPr>
      <w:rPr>
        <w:rFonts w:ascii="Times New Roman" w:hAnsi="Times New Roman" w:cs="Times New Roman"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18" w15:restartNumberingAfterBreak="0">
    <w:nsid w:val="6E4935A2"/>
    <w:multiLevelType w:val="hybridMultilevel"/>
    <w:tmpl w:val="43F46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1D6BB4"/>
    <w:multiLevelType w:val="hybridMultilevel"/>
    <w:tmpl w:val="5622C26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10"/>
  </w:num>
  <w:num w:numId="5">
    <w:abstractNumId w:val="20"/>
  </w:num>
  <w:num w:numId="6">
    <w:abstractNumId w:val="1"/>
  </w:num>
  <w:num w:numId="7">
    <w:abstractNumId w:val="11"/>
  </w:num>
  <w:num w:numId="8">
    <w:abstractNumId w:val="12"/>
  </w:num>
  <w:num w:numId="9">
    <w:abstractNumId w:val="15"/>
  </w:num>
  <w:num w:numId="10">
    <w:abstractNumId w:val="9"/>
  </w:num>
  <w:num w:numId="11">
    <w:abstractNumId w:val="2"/>
  </w:num>
  <w:num w:numId="12">
    <w:abstractNumId w:val="21"/>
  </w:num>
  <w:num w:numId="13">
    <w:abstractNumId w:val="0"/>
  </w:num>
  <w:num w:numId="14">
    <w:abstractNumId w:val="6"/>
  </w:num>
  <w:num w:numId="15">
    <w:abstractNumId w:val="22"/>
  </w:num>
  <w:num w:numId="16">
    <w:abstractNumId w:val="16"/>
  </w:num>
  <w:num w:numId="17">
    <w:abstractNumId w:val="14"/>
  </w:num>
  <w:num w:numId="18">
    <w:abstractNumId w:val="7"/>
  </w:num>
  <w:num w:numId="19">
    <w:abstractNumId w:val="4"/>
  </w:num>
  <w:num w:numId="20">
    <w:abstractNumId w:val="19"/>
  </w:num>
  <w:num w:numId="21">
    <w:abstractNumId w:val="3"/>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1B"/>
    <w:rsid w:val="000022EC"/>
    <w:rsid w:val="00003869"/>
    <w:rsid w:val="0000398E"/>
    <w:rsid w:val="00007610"/>
    <w:rsid w:val="00010DB8"/>
    <w:rsid w:val="000119AE"/>
    <w:rsid w:val="0001336C"/>
    <w:rsid w:val="00021C48"/>
    <w:rsid w:val="00022047"/>
    <w:rsid w:val="0002520B"/>
    <w:rsid w:val="00026068"/>
    <w:rsid w:val="00026CDC"/>
    <w:rsid w:val="000270C6"/>
    <w:rsid w:val="000318AF"/>
    <w:rsid w:val="000328AA"/>
    <w:rsid w:val="0003487A"/>
    <w:rsid w:val="00037303"/>
    <w:rsid w:val="00037BE8"/>
    <w:rsid w:val="00037D3C"/>
    <w:rsid w:val="000418C8"/>
    <w:rsid w:val="000435A6"/>
    <w:rsid w:val="00044152"/>
    <w:rsid w:val="00050061"/>
    <w:rsid w:val="0005529B"/>
    <w:rsid w:val="00055D5B"/>
    <w:rsid w:val="0005674A"/>
    <w:rsid w:val="00056CE7"/>
    <w:rsid w:val="0005739D"/>
    <w:rsid w:val="00060A91"/>
    <w:rsid w:val="0006218D"/>
    <w:rsid w:val="000644E8"/>
    <w:rsid w:val="00064951"/>
    <w:rsid w:val="0006720B"/>
    <w:rsid w:val="00067790"/>
    <w:rsid w:val="00067EC5"/>
    <w:rsid w:val="00070F90"/>
    <w:rsid w:val="00071EB6"/>
    <w:rsid w:val="000743D0"/>
    <w:rsid w:val="000747EA"/>
    <w:rsid w:val="0007768E"/>
    <w:rsid w:val="00083A16"/>
    <w:rsid w:val="000847C0"/>
    <w:rsid w:val="000871FB"/>
    <w:rsid w:val="00094083"/>
    <w:rsid w:val="00095889"/>
    <w:rsid w:val="000974B9"/>
    <w:rsid w:val="000978EA"/>
    <w:rsid w:val="000A07AB"/>
    <w:rsid w:val="000B097B"/>
    <w:rsid w:val="000B37EC"/>
    <w:rsid w:val="000B3CDE"/>
    <w:rsid w:val="000B3ED1"/>
    <w:rsid w:val="000B73FF"/>
    <w:rsid w:val="000B7734"/>
    <w:rsid w:val="000B7FCE"/>
    <w:rsid w:val="000C0C37"/>
    <w:rsid w:val="000C0D67"/>
    <w:rsid w:val="000C3DE5"/>
    <w:rsid w:val="000C4DFF"/>
    <w:rsid w:val="000C4EF4"/>
    <w:rsid w:val="000C5E2A"/>
    <w:rsid w:val="000C6861"/>
    <w:rsid w:val="000C69AB"/>
    <w:rsid w:val="000C72B8"/>
    <w:rsid w:val="000D00BF"/>
    <w:rsid w:val="000D19EB"/>
    <w:rsid w:val="000D2285"/>
    <w:rsid w:val="000D5C16"/>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4CEB"/>
    <w:rsid w:val="001264E3"/>
    <w:rsid w:val="00134113"/>
    <w:rsid w:val="00134976"/>
    <w:rsid w:val="00137E08"/>
    <w:rsid w:val="00141122"/>
    <w:rsid w:val="001422D2"/>
    <w:rsid w:val="00145AFE"/>
    <w:rsid w:val="0014660B"/>
    <w:rsid w:val="00147E42"/>
    <w:rsid w:val="00152FD4"/>
    <w:rsid w:val="001616C4"/>
    <w:rsid w:val="00163841"/>
    <w:rsid w:val="00165DB2"/>
    <w:rsid w:val="001715B9"/>
    <w:rsid w:val="00173A1C"/>
    <w:rsid w:val="00173A4B"/>
    <w:rsid w:val="00175270"/>
    <w:rsid w:val="00175A91"/>
    <w:rsid w:val="00176BB4"/>
    <w:rsid w:val="00177C92"/>
    <w:rsid w:val="00181C84"/>
    <w:rsid w:val="0018205A"/>
    <w:rsid w:val="00186916"/>
    <w:rsid w:val="00186DFF"/>
    <w:rsid w:val="0019525B"/>
    <w:rsid w:val="001956DD"/>
    <w:rsid w:val="00195D15"/>
    <w:rsid w:val="001A117D"/>
    <w:rsid w:val="001A130B"/>
    <w:rsid w:val="001A26FF"/>
    <w:rsid w:val="001A3879"/>
    <w:rsid w:val="001A5014"/>
    <w:rsid w:val="001B1269"/>
    <w:rsid w:val="001B35B1"/>
    <w:rsid w:val="001B73F5"/>
    <w:rsid w:val="001C168E"/>
    <w:rsid w:val="001C1705"/>
    <w:rsid w:val="001C1EFF"/>
    <w:rsid w:val="001C5AFF"/>
    <w:rsid w:val="001D0081"/>
    <w:rsid w:val="001D282E"/>
    <w:rsid w:val="001D57BD"/>
    <w:rsid w:val="001D5E04"/>
    <w:rsid w:val="001D6022"/>
    <w:rsid w:val="001D62F9"/>
    <w:rsid w:val="001E024F"/>
    <w:rsid w:val="001E02AA"/>
    <w:rsid w:val="001E4162"/>
    <w:rsid w:val="001E5F42"/>
    <w:rsid w:val="001F1103"/>
    <w:rsid w:val="001F12F0"/>
    <w:rsid w:val="001F2274"/>
    <w:rsid w:val="002011E6"/>
    <w:rsid w:val="002027DD"/>
    <w:rsid w:val="002037D3"/>
    <w:rsid w:val="00207F5B"/>
    <w:rsid w:val="00211BAA"/>
    <w:rsid w:val="002141DB"/>
    <w:rsid w:val="00216D7B"/>
    <w:rsid w:val="00224296"/>
    <w:rsid w:val="002259BE"/>
    <w:rsid w:val="00230174"/>
    <w:rsid w:val="00231C4B"/>
    <w:rsid w:val="00232D11"/>
    <w:rsid w:val="002417EA"/>
    <w:rsid w:val="00242414"/>
    <w:rsid w:val="00245D6B"/>
    <w:rsid w:val="00246100"/>
    <w:rsid w:val="0024756D"/>
    <w:rsid w:val="00253EA1"/>
    <w:rsid w:val="0025479E"/>
    <w:rsid w:val="00254E23"/>
    <w:rsid w:val="00264ED1"/>
    <w:rsid w:val="00265807"/>
    <w:rsid w:val="002736E7"/>
    <w:rsid w:val="00273BF8"/>
    <w:rsid w:val="00273E87"/>
    <w:rsid w:val="0027592E"/>
    <w:rsid w:val="00276A32"/>
    <w:rsid w:val="00276C3D"/>
    <w:rsid w:val="00277743"/>
    <w:rsid w:val="0028119F"/>
    <w:rsid w:val="00282D3D"/>
    <w:rsid w:val="00283D92"/>
    <w:rsid w:val="00283E17"/>
    <w:rsid w:val="00284D76"/>
    <w:rsid w:val="00284E9E"/>
    <w:rsid w:val="00286D84"/>
    <w:rsid w:val="002903B2"/>
    <w:rsid w:val="0029218B"/>
    <w:rsid w:val="00293B17"/>
    <w:rsid w:val="002A01AD"/>
    <w:rsid w:val="002A0659"/>
    <w:rsid w:val="002A40A0"/>
    <w:rsid w:val="002B2C92"/>
    <w:rsid w:val="002B5ABC"/>
    <w:rsid w:val="002B6352"/>
    <w:rsid w:val="002B765F"/>
    <w:rsid w:val="002C08EF"/>
    <w:rsid w:val="002C5790"/>
    <w:rsid w:val="002C6FAE"/>
    <w:rsid w:val="002C7633"/>
    <w:rsid w:val="002C7B98"/>
    <w:rsid w:val="002D513B"/>
    <w:rsid w:val="002D73B7"/>
    <w:rsid w:val="002E6F96"/>
    <w:rsid w:val="002F16B9"/>
    <w:rsid w:val="002F2D91"/>
    <w:rsid w:val="002F4C2E"/>
    <w:rsid w:val="002F550D"/>
    <w:rsid w:val="002F726A"/>
    <w:rsid w:val="002F757B"/>
    <w:rsid w:val="00300D0D"/>
    <w:rsid w:val="00305982"/>
    <w:rsid w:val="0031181F"/>
    <w:rsid w:val="003127E4"/>
    <w:rsid w:val="0031688A"/>
    <w:rsid w:val="003172EB"/>
    <w:rsid w:val="0032016E"/>
    <w:rsid w:val="003306B6"/>
    <w:rsid w:val="00332B4E"/>
    <w:rsid w:val="00332BA5"/>
    <w:rsid w:val="00333C8E"/>
    <w:rsid w:val="003405B5"/>
    <w:rsid w:val="00341440"/>
    <w:rsid w:val="003422B6"/>
    <w:rsid w:val="003443CC"/>
    <w:rsid w:val="00353CE9"/>
    <w:rsid w:val="00353EB9"/>
    <w:rsid w:val="00356715"/>
    <w:rsid w:val="00362411"/>
    <w:rsid w:val="00365417"/>
    <w:rsid w:val="0036717F"/>
    <w:rsid w:val="00367BDB"/>
    <w:rsid w:val="00367FBF"/>
    <w:rsid w:val="0037073B"/>
    <w:rsid w:val="00370DBD"/>
    <w:rsid w:val="00371FFE"/>
    <w:rsid w:val="0037722C"/>
    <w:rsid w:val="00377B56"/>
    <w:rsid w:val="003814DA"/>
    <w:rsid w:val="00381566"/>
    <w:rsid w:val="00381811"/>
    <w:rsid w:val="003839FF"/>
    <w:rsid w:val="00386B9D"/>
    <w:rsid w:val="003870C7"/>
    <w:rsid w:val="0039172D"/>
    <w:rsid w:val="00395140"/>
    <w:rsid w:val="003959FA"/>
    <w:rsid w:val="003B0047"/>
    <w:rsid w:val="003B16A3"/>
    <w:rsid w:val="003B6A0C"/>
    <w:rsid w:val="003B794D"/>
    <w:rsid w:val="003C0EDA"/>
    <w:rsid w:val="003C14D7"/>
    <w:rsid w:val="003C56E5"/>
    <w:rsid w:val="003C59D5"/>
    <w:rsid w:val="003D2BB9"/>
    <w:rsid w:val="003D4677"/>
    <w:rsid w:val="003D4B1F"/>
    <w:rsid w:val="003D5C3B"/>
    <w:rsid w:val="003D6E2C"/>
    <w:rsid w:val="003E49FA"/>
    <w:rsid w:val="003E4E9D"/>
    <w:rsid w:val="003E6A2B"/>
    <w:rsid w:val="003F0CB4"/>
    <w:rsid w:val="003F10FA"/>
    <w:rsid w:val="003F3C60"/>
    <w:rsid w:val="00403899"/>
    <w:rsid w:val="00405052"/>
    <w:rsid w:val="00406F01"/>
    <w:rsid w:val="0040782C"/>
    <w:rsid w:val="00410DD4"/>
    <w:rsid w:val="0041380C"/>
    <w:rsid w:val="004171B2"/>
    <w:rsid w:val="00417407"/>
    <w:rsid w:val="00420540"/>
    <w:rsid w:val="00424890"/>
    <w:rsid w:val="00424BBA"/>
    <w:rsid w:val="00426056"/>
    <w:rsid w:val="00431579"/>
    <w:rsid w:val="00431EFE"/>
    <w:rsid w:val="0043429E"/>
    <w:rsid w:val="004346D5"/>
    <w:rsid w:val="00435E29"/>
    <w:rsid w:val="00435EA6"/>
    <w:rsid w:val="00442747"/>
    <w:rsid w:val="00442C8A"/>
    <w:rsid w:val="00442F8F"/>
    <w:rsid w:val="004454E5"/>
    <w:rsid w:val="004502DD"/>
    <w:rsid w:val="00450F3E"/>
    <w:rsid w:val="00451828"/>
    <w:rsid w:val="0045279F"/>
    <w:rsid w:val="00453723"/>
    <w:rsid w:val="00454AE9"/>
    <w:rsid w:val="00457D04"/>
    <w:rsid w:val="00461291"/>
    <w:rsid w:val="004617C5"/>
    <w:rsid w:val="00461853"/>
    <w:rsid w:val="004651B3"/>
    <w:rsid w:val="004671B2"/>
    <w:rsid w:val="00467CDD"/>
    <w:rsid w:val="00470820"/>
    <w:rsid w:val="004722F7"/>
    <w:rsid w:val="00473510"/>
    <w:rsid w:val="004751B6"/>
    <w:rsid w:val="00475B5B"/>
    <w:rsid w:val="0048108A"/>
    <w:rsid w:val="00487107"/>
    <w:rsid w:val="00490B32"/>
    <w:rsid w:val="00490BA3"/>
    <w:rsid w:val="00491B19"/>
    <w:rsid w:val="00494D88"/>
    <w:rsid w:val="004958E7"/>
    <w:rsid w:val="00496CC9"/>
    <w:rsid w:val="004A160F"/>
    <w:rsid w:val="004A3E83"/>
    <w:rsid w:val="004A4AA5"/>
    <w:rsid w:val="004A5824"/>
    <w:rsid w:val="004A62E8"/>
    <w:rsid w:val="004B4B33"/>
    <w:rsid w:val="004B73F0"/>
    <w:rsid w:val="004B76DD"/>
    <w:rsid w:val="004C1422"/>
    <w:rsid w:val="004C1532"/>
    <w:rsid w:val="004C2F5F"/>
    <w:rsid w:val="004C4B5E"/>
    <w:rsid w:val="004C4D36"/>
    <w:rsid w:val="004D116E"/>
    <w:rsid w:val="004D3133"/>
    <w:rsid w:val="004E1038"/>
    <w:rsid w:val="004E221F"/>
    <w:rsid w:val="004F49F9"/>
    <w:rsid w:val="004F4FCD"/>
    <w:rsid w:val="004F6F7B"/>
    <w:rsid w:val="005008B9"/>
    <w:rsid w:val="00501EF3"/>
    <w:rsid w:val="00505F9A"/>
    <w:rsid w:val="005104A9"/>
    <w:rsid w:val="005158E2"/>
    <w:rsid w:val="00515958"/>
    <w:rsid w:val="00516A4D"/>
    <w:rsid w:val="00516E7E"/>
    <w:rsid w:val="0052143E"/>
    <w:rsid w:val="00524401"/>
    <w:rsid w:val="00524AED"/>
    <w:rsid w:val="005250DD"/>
    <w:rsid w:val="005251F3"/>
    <w:rsid w:val="00525E5C"/>
    <w:rsid w:val="00527DEB"/>
    <w:rsid w:val="005316B9"/>
    <w:rsid w:val="00532000"/>
    <w:rsid w:val="005339AC"/>
    <w:rsid w:val="00537A31"/>
    <w:rsid w:val="00542E34"/>
    <w:rsid w:val="005430B7"/>
    <w:rsid w:val="00543C22"/>
    <w:rsid w:val="00544F0D"/>
    <w:rsid w:val="0054576A"/>
    <w:rsid w:val="00552AF1"/>
    <w:rsid w:val="00553215"/>
    <w:rsid w:val="005536D4"/>
    <w:rsid w:val="00555E2B"/>
    <w:rsid w:val="00556ABA"/>
    <w:rsid w:val="005613C3"/>
    <w:rsid w:val="0056234A"/>
    <w:rsid w:val="00562495"/>
    <w:rsid w:val="005629D2"/>
    <w:rsid w:val="005649FC"/>
    <w:rsid w:val="00564B2D"/>
    <w:rsid w:val="00566AAF"/>
    <w:rsid w:val="00567443"/>
    <w:rsid w:val="005704CC"/>
    <w:rsid w:val="0057368E"/>
    <w:rsid w:val="0057373B"/>
    <w:rsid w:val="00573742"/>
    <w:rsid w:val="00575955"/>
    <w:rsid w:val="00583A58"/>
    <w:rsid w:val="00583FB2"/>
    <w:rsid w:val="00586A22"/>
    <w:rsid w:val="005874B2"/>
    <w:rsid w:val="00587DB2"/>
    <w:rsid w:val="00590AF4"/>
    <w:rsid w:val="005928E7"/>
    <w:rsid w:val="0059297E"/>
    <w:rsid w:val="005949CF"/>
    <w:rsid w:val="00595C1D"/>
    <w:rsid w:val="005A0024"/>
    <w:rsid w:val="005A0786"/>
    <w:rsid w:val="005A3939"/>
    <w:rsid w:val="005B04F2"/>
    <w:rsid w:val="005B17B5"/>
    <w:rsid w:val="005B2F1A"/>
    <w:rsid w:val="005B353C"/>
    <w:rsid w:val="005B5D4D"/>
    <w:rsid w:val="005B62A3"/>
    <w:rsid w:val="005B6536"/>
    <w:rsid w:val="005B68C0"/>
    <w:rsid w:val="005C1E39"/>
    <w:rsid w:val="005C3363"/>
    <w:rsid w:val="005C5FDC"/>
    <w:rsid w:val="005D087C"/>
    <w:rsid w:val="005D31CF"/>
    <w:rsid w:val="005D3F1B"/>
    <w:rsid w:val="005D4C52"/>
    <w:rsid w:val="005D62F6"/>
    <w:rsid w:val="005D75FF"/>
    <w:rsid w:val="005E080B"/>
    <w:rsid w:val="005E4761"/>
    <w:rsid w:val="005E4884"/>
    <w:rsid w:val="005F0783"/>
    <w:rsid w:val="005F07FA"/>
    <w:rsid w:val="005F2678"/>
    <w:rsid w:val="005F29B7"/>
    <w:rsid w:val="005F37E1"/>
    <w:rsid w:val="005F4614"/>
    <w:rsid w:val="005F5EAF"/>
    <w:rsid w:val="005F61F6"/>
    <w:rsid w:val="005F704F"/>
    <w:rsid w:val="005F7D86"/>
    <w:rsid w:val="00600AD6"/>
    <w:rsid w:val="00601A52"/>
    <w:rsid w:val="00602C39"/>
    <w:rsid w:val="006030AD"/>
    <w:rsid w:val="00611895"/>
    <w:rsid w:val="006130F3"/>
    <w:rsid w:val="00613BA6"/>
    <w:rsid w:val="00615BC5"/>
    <w:rsid w:val="00615FC5"/>
    <w:rsid w:val="00617F91"/>
    <w:rsid w:val="00620A27"/>
    <w:rsid w:val="00625C93"/>
    <w:rsid w:val="00627C5B"/>
    <w:rsid w:val="00631130"/>
    <w:rsid w:val="00635E31"/>
    <w:rsid w:val="006404CE"/>
    <w:rsid w:val="006414EB"/>
    <w:rsid w:val="00641B8C"/>
    <w:rsid w:val="006427F7"/>
    <w:rsid w:val="006449F9"/>
    <w:rsid w:val="006474C1"/>
    <w:rsid w:val="00650E02"/>
    <w:rsid w:val="006515D0"/>
    <w:rsid w:val="00651902"/>
    <w:rsid w:val="0065340B"/>
    <w:rsid w:val="00653B4F"/>
    <w:rsid w:val="00653B73"/>
    <w:rsid w:val="006542F6"/>
    <w:rsid w:val="00657D26"/>
    <w:rsid w:val="00661330"/>
    <w:rsid w:val="00667D8E"/>
    <w:rsid w:val="00670722"/>
    <w:rsid w:val="006722BE"/>
    <w:rsid w:val="00673EF9"/>
    <w:rsid w:val="006747A3"/>
    <w:rsid w:val="00675BC5"/>
    <w:rsid w:val="00676BF3"/>
    <w:rsid w:val="006807D7"/>
    <w:rsid w:val="006809FB"/>
    <w:rsid w:val="006846DE"/>
    <w:rsid w:val="00685389"/>
    <w:rsid w:val="006923DE"/>
    <w:rsid w:val="0069259C"/>
    <w:rsid w:val="00692EE9"/>
    <w:rsid w:val="006940DD"/>
    <w:rsid w:val="0069561D"/>
    <w:rsid w:val="006A01C1"/>
    <w:rsid w:val="006A180E"/>
    <w:rsid w:val="006A2E95"/>
    <w:rsid w:val="006A328D"/>
    <w:rsid w:val="006A33AF"/>
    <w:rsid w:val="006A3714"/>
    <w:rsid w:val="006A421F"/>
    <w:rsid w:val="006A4C3F"/>
    <w:rsid w:val="006A63E6"/>
    <w:rsid w:val="006B26C8"/>
    <w:rsid w:val="006B2E6F"/>
    <w:rsid w:val="006B5A79"/>
    <w:rsid w:val="006B5EB3"/>
    <w:rsid w:val="006C2A0A"/>
    <w:rsid w:val="006C5371"/>
    <w:rsid w:val="006C5F56"/>
    <w:rsid w:val="006E24C1"/>
    <w:rsid w:val="006E2D70"/>
    <w:rsid w:val="006F0601"/>
    <w:rsid w:val="006F073C"/>
    <w:rsid w:val="006F352C"/>
    <w:rsid w:val="006F3E4B"/>
    <w:rsid w:val="006F576C"/>
    <w:rsid w:val="006F584E"/>
    <w:rsid w:val="006F67BC"/>
    <w:rsid w:val="006F6AE1"/>
    <w:rsid w:val="006F7242"/>
    <w:rsid w:val="00701C98"/>
    <w:rsid w:val="00703740"/>
    <w:rsid w:val="00706027"/>
    <w:rsid w:val="00706DB6"/>
    <w:rsid w:val="007074E2"/>
    <w:rsid w:val="0071435C"/>
    <w:rsid w:val="007209F5"/>
    <w:rsid w:val="00721091"/>
    <w:rsid w:val="00721B79"/>
    <w:rsid w:val="00721FBC"/>
    <w:rsid w:val="0072294B"/>
    <w:rsid w:val="00723FC6"/>
    <w:rsid w:val="00727229"/>
    <w:rsid w:val="00730614"/>
    <w:rsid w:val="007332A5"/>
    <w:rsid w:val="00736A6E"/>
    <w:rsid w:val="00740CF1"/>
    <w:rsid w:val="007424A5"/>
    <w:rsid w:val="007433EC"/>
    <w:rsid w:val="00746907"/>
    <w:rsid w:val="00753923"/>
    <w:rsid w:val="00753F28"/>
    <w:rsid w:val="00754C42"/>
    <w:rsid w:val="00755475"/>
    <w:rsid w:val="00757919"/>
    <w:rsid w:val="0076177D"/>
    <w:rsid w:val="007618E1"/>
    <w:rsid w:val="00767A5F"/>
    <w:rsid w:val="00770813"/>
    <w:rsid w:val="0077105C"/>
    <w:rsid w:val="00771A4E"/>
    <w:rsid w:val="007744FD"/>
    <w:rsid w:val="00774683"/>
    <w:rsid w:val="00775A92"/>
    <w:rsid w:val="00777964"/>
    <w:rsid w:val="007806C9"/>
    <w:rsid w:val="00781160"/>
    <w:rsid w:val="0078235C"/>
    <w:rsid w:val="0079055E"/>
    <w:rsid w:val="00791457"/>
    <w:rsid w:val="007914F9"/>
    <w:rsid w:val="007922F3"/>
    <w:rsid w:val="00792ECD"/>
    <w:rsid w:val="00794BB1"/>
    <w:rsid w:val="007A185A"/>
    <w:rsid w:val="007A2AD5"/>
    <w:rsid w:val="007A3470"/>
    <w:rsid w:val="007A421F"/>
    <w:rsid w:val="007A4418"/>
    <w:rsid w:val="007B1E93"/>
    <w:rsid w:val="007B3A0A"/>
    <w:rsid w:val="007B5FD2"/>
    <w:rsid w:val="007B6F4C"/>
    <w:rsid w:val="007C4AC4"/>
    <w:rsid w:val="007D1047"/>
    <w:rsid w:val="007D1886"/>
    <w:rsid w:val="007D20A1"/>
    <w:rsid w:val="007D262D"/>
    <w:rsid w:val="007D340E"/>
    <w:rsid w:val="007D3B83"/>
    <w:rsid w:val="007E09A5"/>
    <w:rsid w:val="007E169B"/>
    <w:rsid w:val="007E2E06"/>
    <w:rsid w:val="007E592F"/>
    <w:rsid w:val="007E7DE1"/>
    <w:rsid w:val="007E7E2D"/>
    <w:rsid w:val="007F039E"/>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279FC"/>
    <w:rsid w:val="008305BA"/>
    <w:rsid w:val="008317DD"/>
    <w:rsid w:val="00834336"/>
    <w:rsid w:val="00834B3A"/>
    <w:rsid w:val="008462E0"/>
    <w:rsid w:val="008474B2"/>
    <w:rsid w:val="00850CD0"/>
    <w:rsid w:val="008519E0"/>
    <w:rsid w:val="00852D37"/>
    <w:rsid w:val="00852ED9"/>
    <w:rsid w:val="008531BB"/>
    <w:rsid w:val="008533D0"/>
    <w:rsid w:val="00854732"/>
    <w:rsid w:val="008575BB"/>
    <w:rsid w:val="008602BD"/>
    <w:rsid w:val="00864D5D"/>
    <w:rsid w:val="008719C7"/>
    <w:rsid w:val="00872E0D"/>
    <w:rsid w:val="008803AC"/>
    <w:rsid w:val="008807F4"/>
    <w:rsid w:val="00881CEA"/>
    <w:rsid w:val="00883429"/>
    <w:rsid w:val="008838D8"/>
    <w:rsid w:val="0088399E"/>
    <w:rsid w:val="0088449E"/>
    <w:rsid w:val="00884C89"/>
    <w:rsid w:val="00887D7B"/>
    <w:rsid w:val="00891DF8"/>
    <w:rsid w:val="008924D7"/>
    <w:rsid w:val="00892B31"/>
    <w:rsid w:val="008933FA"/>
    <w:rsid w:val="0089432F"/>
    <w:rsid w:val="00896115"/>
    <w:rsid w:val="00896321"/>
    <w:rsid w:val="008965F0"/>
    <w:rsid w:val="0089724E"/>
    <w:rsid w:val="008A422F"/>
    <w:rsid w:val="008A6540"/>
    <w:rsid w:val="008B051B"/>
    <w:rsid w:val="008B137C"/>
    <w:rsid w:val="008B2B08"/>
    <w:rsid w:val="008B3274"/>
    <w:rsid w:val="008B3D42"/>
    <w:rsid w:val="008B3E1B"/>
    <w:rsid w:val="008B6465"/>
    <w:rsid w:val="008B6DE0"/>
    <w:rsid w:val="008C29C5"/>
    <w:rsid w:val="008C4239"/>
    <w:rsid w:val="008C4B57"/>
    <w:rsid w:val="008D2FC1"/>
    <w:rsid w:val="008D3F7B"/>
    <w:rsid w:val="008E2F03"/>
    <w:rsid w:val="008E6991"/>
    <w:rsid w:val="008E7550"/>
    <w:rsid w:val="008E79FE"/>
    <w:rsid w:val="008F0B9A"/>
    <w:rsid w:val="008F21AE"/>
    <w:rsid w:val="008F36D6"/>
    <w:rsid w:val="008F5F75"/>
    <w:rsid w:val="008F64DF"/>
    <w:rsid w:val="008F68A5"/>
    <w:rsid w:val="008F7738"/>
    <w:rsid w:val="0090204D"/>
    <w:rsid w:val="009021A6"/>
    <w:rsid w:val="00903280"/>
    <w:rsid w:val="00905D1A"/>
    <w:rsid w:val="00910A71"/>
    <w:rsid w:val="00912AB2"/>
    <w:rsid w:val="00914DA1"/>
    <w:rsid w:val="00920C12"/>
    <w:rsid w:val="00924689"/>
    <w:rsid w:val="0092730D"/>
    <w:rsid w:val="00932AD7"/>
    <w:rsid w:val="00934E10"/>
    <w:rsid w:val="009379BE"/>
    <w:rsid w:val="0094020D"/>
    <w:rsid w:val="00943926"/>
    <w:rsid w:val="0094730E"/>
    <w:rsid w:val="00951868"/>
    <w:rsid w:val="009557CE"/>
    <w:rsid w:val="00955B64"/>
    <w:rsid w:val="00955EAD"/>
    <w:rsid w:val="00956842"/>
    <w:rsid w:val="00960E39"/>
    <w:rsid w:val="009638D4"/>
    <w:rsid w:val="009652C9"/>
    <w:rsid w:val="00970C89"/>
    <w:rsid w:val="0097164D"/>
    <w:rsid w:val="00975B01"/>
    <w:rsid w:val="00977AAC"/>
    <w:rsid w:val="00983F68"/>
    <w:rsid w:val="0098576D"/>
    <w:rsid w:val="00986DD0"/>
    <w:rsid w:val="00991B8C"/>
    <w:rsid w:val="0099255D"/>
    <w:rsid w:val="00992912"/>
    <w:rsid w:val="00993051"/>
    <w:rsid w:val="009938A0"/>
    <w:rsid w:val="00993E63"/>
    <w:rsid w:val="0099426D"/>
    <w:rsid w:val="009959B3"/>
    <w:rsid w:val="009975FD"/>
    <w:rsid w:val="009A0566"/>
    <w:rsid w:val="009A07B3"/>
    <w:rsid w:val="009A0924"/>
    <w:rsid w:val="009A35DF"/>
    <w:rsid w:val="009A4150"/>
    <w:rsid w:val="009A5197"/>
    <w:rsid w:val="009A5F8F"/>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E179D"/>
    <w:rsid w:val="009E3C8B"/>
    <w:rsid w:val="009E5B2C"/>
    <w:rsid w:val="009E6B8A"/>
    <w:rsid w:val="009E7780"/>
    <w:rsid w:val="009F0253"/>
    <w:rsid w:val="009F0839"/>
    <w:rsid w:val="009F1E19"/>
    <w:rsid w:val="009F4F61"/>
    <w:rsid w:val="009F530E"/>
    <w:rsid w:val="009F6976"/>
    <w:rsid w:val="009F6EA9"/>
    <w:rsid w:val="009F74BB"/>
    <w:rsid w:val="00A00BEB"/>
    <w:rsid w:val="00A02177"/>
    <w:rsid w:val="00A02AD0"/>
    <w:rsid w:val="00A07F1B"/>
    <w:rsid w:val="00A118B5"/>
    <w:rsid w:val="00A13253"/>
    <w:rsid w:val="00A16CFC"/>
    <w:rsid w:val="00A17D5D"/>
    <w:rsid w:val="00A20E2D"/>
    <w:rsid w:val="00A234C1"/>
    <w:rsid w:val="00A23571"/>
    <w:rsid w:val="00A264FE"/>
    <w:rsid w:val="00A310E2"/>
    <w:rsid w:val="00A3282B"/>
    <w:rsid w:val="00A32987"/>
    <w:rsid w:val="00A336C4"/>
    <w:rsid w:val="00A35945"/>
    <w:rsid w:val="00A36900"/>
    <w:rsid w:val="00A37292"/>
    <w:rsid w:val="00A375E2"/>
    <w:rsid w:val="00A377F5"/>
    <w:rsid w:val="00A41557"/>
    <w:rsid w:val="00A43311"/>
    <w:rsid w:val="00A454B1"/>
    <w:rsid w:val="00A52702"/>
    <w:rsid w:val="00A560AD"/>
    <w:rsid w:val="00A57D76"/>
    <w:rsid w:val="00A67603"/>
    <w:rsid w:val="00A72DCF"/>
    <w:rsid w:val="00A73BAD"/>
    <w:rsid w:val="00A75A36"/>
    <w:rsid w:val="00A75C0D"/>
    <w:rsid w:val="00A804BC"/>
    <w:rsid w:val="00A81BAC"/>
    <w:rsid w:val="00A82E77"/>
    <w:rsid w:val="00A84A67"/>
    <w:rsid w:val="00A859C7"/>
    <w:rsid w:val="00A8634F"/>
    <w:rsid w:val="00A903B2"/>
    <w:rsid w:val="00A92B11"/>
    <w:rsid w:val="00A93957"/>
    <w:rsid w:val="00A950EE"/>
    <w:rsid w:val="00A95CFA"/>
    <w:rsid w:val="00A95FBA"/>
    <w:rsid w:val="00A979C4"/>
    <w:rsid w:val="00A97F2B"/>
    <w:rsid w:val="00AA0C46"/>
    <w:rsid w:val="00AA0F3F"/>
    <w:rsid w:val="00AA1E3F"/>
    <w:rsid w:val="00AA5211"/>
    <w:rsid w:val="00AB04B5"/>
    <w:rsid w:val="00AB171A"/>
    <w:rsid w:val="00AB175B"/>
    <w:rsid w:val="00AB2091"/>
    <w:rsid w:val="00AB3087"/>
    <w:rsid w:val="00AB334C"/>
    <w:rsid w:val="00AB6218"/>
    <w:rsid w:val="00AB63E6"/>
    <w:rsid w:val="00AB7CC9"/>
    <w:rsid w:val="00AC06B9"/>
    <w:rsid w:val="00AC6656"/>
    <w:rsid w:val="00AC668C"/>
    <w:rsid w:val="00AD07E7"/>
    <w:rsid w:val="00AD1003"/>
    <w:rsid w:val="00AD3A09"/>
    <w:rsid w:val="00AD6BB0"/>
    <w:rsid w:val="00AE051C"/>
    <w:rsid w:val="00AE4810"/>
    <w:rsid w:val="00AE4D92"/>
    <w:rsid w:val="00AE50FC"/>
    <w:rsid w:val="00AF1459"/>
    <w:rsid w:val="00AF2A73"/>
    <w:rsid w:val="00AF319A"/>
    <w:rsid w:val="00AF3DE2"/>
    <w:rsid w:val="00AF3E9D"/>
    <w:rsid w:val="00B02ECC"/>
    <w:rsid w:val="00B02F57"/>
    <w:rsid w:val="00B04A56"/>
    <w:rsid w:val="00B10440"/>
    <w:rsid w:val="00B10A2B"/>
    <w:rsid w:val="00B12199"/>
    <w:rsid w:val="00B12F09"/>
    <w:rsid w:val="00B138A9"/>
    <w:rsid w:val="00B155FB"/>
    <w:rsid w:val="00B15F07"/>
    <w:rsid w:val="00B261C4"/>
    <w:rsid w:val="00B30078"/>
    <w:rsid w:val="00B31164"/>
    <w:rsid w:val="00B33EAF"/>
    <w:rsid w:val="00B340C3"/>
    <w:rsid w:val="00B35076"/>
    <w:rsid w:val="00B40BF3"/>
    <w:rsid w:val="00B41893"/>
    <w:rsid w:val="00B41949"/>
    <w:rsid w:val="00B439A8"/>
    <w:rsid w:val="00B45031"/>
    <w:rsid w:val="00B4547A"/>
    <w:rsid w:val="00B460F4"/>
    <w:rsid w:val="00B50B2B"/>
    <w:rsid w:val="00B516B7"/>
    <w:rsid w:val="00B537F2"/>
    <w:rsid w:val="00B60EDA"/>
    <w:rsid w:val="00B61A16"/>
    <w:rsid w:val="00B626FF"/>
    <w:rsid w:val="00B62EC8"/>
    <w:rsid w:val="00B66EBB"/>
    <w:rsid w:val="00B7082C"/>
    <w:rsid w:val="00B7092A"/>
    <w:rsid w:val="00B70CAB"/>
    <w:rsid w:val="00B72CAE"/>
    <w:rsid w:val="00B7413C"/>
    <w:rsid w:val="00B75711"/>
    <w:rsid w:val="00B76A09"/>
    <w:rsid w:val="00B76F4D"/>
    <w:rsid w:val="00B779F3"/>
    <w:rsid w:val="00B802F9"/>
    <w:rsid w:val="00B82608"/>
    <w:rsid w:val="00B90086"/>
    <w:rsid w:val="00B922B7"/>
    <w:rsid w:val="00B9539C"/>
    <w:rsid w:val="00B95EFB"/>
    <w:rsid w:val="00BA0064"/>
    <w:rsid w:val="00BA02D5"/>
    <w:rsid w:val="00BA10CD"/>
    <w:rsid w:val="00BA48CB"/>
    <w:rsid w:val="00BA7EAB"/>
    <w:rsid w:val="00BB08BE"/>
    <w:rsid w:val="00BB3ED9"/>
    <w:rsid w:val="00BB5AE7"/>
    <w:rsid w:val="00BB6DFA"/>
    <w:rsid w:val="00BC2151"/>
    <w:rsid w:val="00BC27BB"/>
    <w:rsid w:val="00BC3A25"/>
    <w:rsid w:val="00BC4985"/>
    <w:rsid w:val="00BC4A4D"/>
    <w:rsid w:val="00BC5317"/>
    <w:rsid w:val="00BC68ED"/>
    <w:rsid w:val="00BD0872"/>
    <w:rsid w:val="00BD12B5"/>
    <w:rsid w:val="00BD7419"/>
    <w:rsid w:val="00BD7A6C"/>
    <w:rsid w:val="00BE302B"/>
    <w:rsid w:val="00BE600F"/>
    <w:rsid w:val="00BF1E1D"/>
    <w:rsid w:val="00BF471D"/>
    <w:rsid w:val="00BF51C1"/>
    <w:rsid w:val="00BF6FBD"/>
    <w:rsid w:val="00C02C40"/>
    <w:rsid w:val="00C113C5"/>
    <w:rsid w:val="00C1325A"/>
    <w:rsid w:val="00C20A5F"/>
    <w:rsid w:val="00C22C19"/>
    <w:rsid w:val="00C33C2A"/>
    <w:rsid w:val="00C34032"/>
    <w:rsid w:val="00C35D8B"/>
    <w:rsid w:val="00C42B52"/>
    <w:rsid w:val="00C50A8B"/>
    <w:rsid w:val="00C544D9"/>
    <w:rsid w:val="00C54DA2"/>
    <w:rsid w:val="00C568B1"/>
    <w:rsid w:val="00C56FC1"/>
    <w:rsid w:val="00C61170"/>
    <w:rsid w:val="00C62254"/>
    <w:rsid w:val="00C65DBB"/>
    <w:rsid w:val="00C661F3"/>
    <w:rsid w:val="00C664E7"/>
    <w:rsid w:val="00C67DA5"/>
    <w:rsid w:val="00C7015D"/>
    <w:rsid w:val="00C75595"/>
    <w:rsid w:val="00C778E8"/>
    <w:rsid w:val="00C803DD"/>
    <w:rsid w:val="00C806C9"/>
    <w:rsid w:val="00C82639"/>
    <w:rsid w:val="00C852C4"/>
    <w:rsid w:val="00C9049D"/>
    <w:rsid w:val="00C91D23"/>
    <w:rsid w:val="00C93A5E"/>
    <w:rsid w:val="00C940ED"/>
    <w:rsid w:val="00C97710"/>
    <w:rsid w:val="00CA090F"/>
    <w:rsid w:val="00CA0E65"/>
    <w:rsid w:val="00CA2E02"/>
    <w:rsid w:val="00CA2E10"/>
    <w:rsid w:val="00CA3ADC"/>
    <w:rsid w:val="00CA3D4D"/>
    <w:rsid w:val="00CA6FE9"/>
    <w:rsid w:val="00CB0726"/>
    <w:rsid w:val="00CB1E15"/>
    <w:rsid w:val="00CB47A2"/>
    <w:rsid w:val="00CB5435"/>
    <w:rsid w:val="00CB7B71"/>
    <w:rsid w:val="00CC0242"/>
    <w:rsid w:val="00CC0F55"/>
    <w:rsid w:val="00CC2A8B"/>
    <w:rsid w:val="00CC2E12"/>
    <w:rsid w:val="00CC350C"/>
    <w:rsid w:val="00CC407E"/>
    <w:rsid w:val="00CC53BC"/>
    <w:rsid w:val="00CC6C54"/>
    <w:rsid w:val="00CC7C62"/>
    <w:rsid w:val="00CD0C46"/>
    <w:rsid w:val="00CD123E"/>
    <w:rsid w:val="00CD3347"/>
    <w:rsid w:val="00CD39B6"/>
    <w:rsid w:val="00CD3CA9"/>
    <w:rsid w:val="00CD5F10"/>
    <w:rsid w:val="00CD7DC9"/>
    <w:rsid w:val="00CE00ED"/>
    <w:rsid w:val="00CE074B"/>
    <w:rsid w:val="00CE160C"/>
    <w:rsid w:val="00CE5ADE"/>
    <w:rsid w:val="00CE69F8"/>
    <w:rsid w:val="00CF089F"/>
    <w:rsid w:val="00CF1B51"/>
    <w:rsid w:val="00CF2D08"/>
    <w:rsid w:val="00CF53BB"/>
    <w:rsid w:val="00CF551A"/>
    <w:rsid w:val="00CF6A4F"/>
    <w:rsid w:val="00CF79D1"/>
    <w:rsid w:val="00D0157E"/>
    <w:rsid w:val="00D0252F"/>
    <w:rsid w:val="00D06926"/>
    <w:rsid w:val="00D07229"/>
    <w:rsid w:val="00D10469"/>
    <w:rsid w:val="00D115CC"/>
    <w:rsid w:val="00D131C8"/>
    <w:rsid w:val="00D134E4"/>
    <w:rsid w:val="00D137D7"/>
    <w:rsid w:val="00D148B4"/>
    <w:rsid w:val="00D149DD"/>
    <w:rsid w:val="00D15C30"/>
    <w:rsid w:val="00D210C7"/>
    <w:rsid w:val="00D219E1"/>
    <w:rsid w:val="00D21A93"/>
    <w:rsid w:val="00D21B94"/>
    <w:rsid w:val="00D25CD3"/>
    <w:rsid w:val="00D31F78"/>
    <w:rsid w:val="00D336F5"/>
    <w:rsid w:val="00D42BEE"/>
    <w:rsid w:val="00D43659"/>
    <w:rsid w:val="00D44B35"/>
    <w:rsid w:val="00D507D8"/>
    <w:rsid w:val="00D53E53"/>
    <w:rsid w:val="00D576FD"/>
    <w:rsid w:val="00D5792B"/>
    <w:rsid w:val="00D57ACE"/>
    <w:rsid w:val="00D6125D"/>
    <w:rsid w:val="00D630F4"/>
    <w:rsid w:val="00D63D38"/>
    <w:rsid w:val="00D64C9D"/>
    <w:rsid w:val="00D66695"/>
    <w:rsid w:val="00D66D85"/>
    <w:rsid w:val="00D678F4"/>
    <w:rsid w:val="00D72D90"/>
    <w:rsid w:val="00D74718"/>
    <w:rsid w:val="00D75CBD"/>
    <w:rsid w:val="00D77144"/>
    <w:rsid w:val="00D82DEF"/>
    <w:rsid w:val="00D834CD"/>
    <w:rsid w:val="00D8356D"/>
    <w:rsid w:val="00D844D2"/>
    <w:rsid w:val="00D85FF8"/>
    <w:rsid w:val="00D86CFD"/>
    <w:rsid w:val="00D874CD"/>
    <w:rsid w:val="00D9522E"/>
    <w:rsid w:val="00DA04AE"/>
    <w:rsid w:val="00DA409B"/>
    <w:rsid w:val="00DB05AD"/>
    <w:rsid w:val="00DB168D"/>
    <w:rsid w:val="00DB1EFA"/>
    <w:rsid w:val="00DB22DA"/>
    <w:rsid w:val="00DB62B6"/>
    <w:rsid w:val="00DB752F"/>
    <w:rsid w:val="00DC01C5"/>
    <w:rsid w:val="00DC1606"/>
    <w:rsid w:val="00DC4CAD"/>
    <w:rsid w:val="00DC5D2A"/>
    <w:rsid w:val="00DD396E"/>
    <w:rsid w:val="00DD5730"/>
    <w:rsid w:val="00DE0312"/>
    <w:rsid w:val="00DE1132"/>
    <w:rsid w:val="00DE3A9F"/>
    <w:rsid w:val="00DE51C3"/>
    <w:rsid w:val="00DF06BA"/>
    <w:rsid w:val="00DF1ABE"/>
    <w:rsid w:val="00DF744B"/>
    <w:rsid w:val="00E002BC"/>
    <w:rsid w:val="00E029DB"/>
    <w:rsid w:val="00E04C7C"/>
    <w:rsid w:val="00E04FCA"/>
    <w:rsid w:val="00E077BA"/>
    <w:rsid w:val="00E122F2"/>
    <w:rsid w:val="00E13612"/>
    <w:rsid w:val="00E1494C"/>
    <w:rsid w:val="00E1610E"/>
    <w:rsid w:val="00E17947"/>
    <w:rsid w:val="00E17A07"/>
    <w:rsid w:val="00E17B99"/>
    <w:rsid w:val="00E20E99"/>
    <w:rsid w:val="00E23BFE"/>
    <w:rsid w:val="00E23CB1"/>
    <w:rsid w:val="00E24A68"/>
    <w:rsid w:val="00E321BF"/>
    <w:rsid w:val="00E36BDD"/>
    <w:rsid w:val="00E41A3D"/>
    <w:rsid w:val="00E45CF6"/>
    <w:rsid w:val="00E50DBD"/>
    <w:rsid w:val="00E519D3"/>
    <w:rsid w:val="00E52C70"/>
    <w:rsid w:val="00E531A9"/>
    <w:rsid w:val="00E53D11"/>
    <w:rsid w:val="00E54AB1"/>
    <w:rsid w:val="00E550DE"/>
    <w:rsid w:val="00E562E7"/>
    <w:rsid w:val="00E602C8"/>
    <w:rsid w:val="00E614E6"/>
    <w:rsid w:val="00E61A25"/>
    <w:rsid w:val="00E63728"/>
    <w:rsid w:val="00E657F3"/>
    <w:rsid w:val="00E66B62"/>
    <w:rsid w:val="00E70E99"/>
    <w:rsid w:val="00E71AA9"/>
    <w:rsid w:val="00E74409"/>
    <w:rsid w:val="00E75B6E"/>
    <w:rsid w:val="00E766A7"/>
    <w:rsid w:val="00E907F5"/>
    <w:rsid w:val="00EA09BE"/>
    <w:rsid w:val="00EA137A"/>
    <w:rsid w:val="00EA3FAD"/>
    <w:rsid w:val="00EA52E7"/>
    <w:rsid w:val="00EA6843"/>
    <w:rsid w:val="00EA7864"/>
    <w:rsid w:val="00EB01D6"/>
    <w:rsid w:val="00EB160D"/>
    <w:rsid w:val="00EB1EC6"/>
    <w:rsid w:val="00EB22D0"/>
    <w:rsid w:val="00EB3002"/>
    <w:rsid w:val="00EC262E"/>
    <w:rsid w:val="00EC35FF"/>
    <w:rsid w:val="00EC3684"/>
    <w:rsid w:val="00EC4C80"/>
    <w:rsid w:val="00EC77CB"/>
    <w:rsid w:val="00EC7897"/>
    <w:rsid w:val="00ED07B2"/>
    <w:rsid w:val="00ED0FF3"/>
    <w:rsid w:val="00ED1248"/>
    <w:rsid w:val="00ED272F"/>
    <w:rsid w:val="00ED34DF"/>
    <w:rsid w:val="00ED4320"/>
    <w:rsid w:val="00EE3157"/>
    <w:rsid w:val="00EE39E9"/>
    <w:rsid w:val="00EE3EAB"/>
    <w:rsid w:val="00EE61B7"/>
    <w:rsid w:val="00EE73AF"/>
    <w:rsid w:val="00EE77EA"/>
    <w:rsid w:val="00EF171C"/>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2916"/>
    <w:rsid w:val="00F23BFD"/>
    <w:rsid w:val="00F275E3"/>
    <w:rsid w:val="00F30AD3"/>
    <w:rsid w:val="00F32733"/>
    <w:rsid w:val="00F34770"/>
    <w:rsid w:val="00F439DC"/>
    <w:rsid w:val="00F43DED"/>
    <w:rsid w:val="00F44494"/>
    <w:rsid w:val="00F451F3"/>
    <w:rsid w:val="00F46CCB"/>
    <w:rsid w:val="00F52848"/>
    <w:rsid w:val="00F540E3"/>
    <w:rsid w:val="00F554E6"/>
    <w:rsid w:val="00F578B2"/>
    <w:rsid w:val="00F60F38"/>
    <w:rsid w:val="00F61D1E"/>
    <w:rsid w:val="00F642C8"/>
    <w:rsid w:val="00F70BCE"/>
    <w:rsid w:val="00F72A9A"/>
    <w:rsid w:val="00F75002"/>
    <w:rsid w:val="00F774A8"/>
    <w:rsid w:val="00F77E83"/>
    <w:rsid w:val="00F810EF"/>
    <w:rsid w:val="00F83552"/>
    <w:rsid w:val="00F83775"/>
    <w:rsid w:val="00F84B51"/>
    <w:rsid w:val="00F86406"/>
    <w:rsid w:val="00F90A28"/>
    <w:rsid w:val="00F91B8D"/>
    <w:rsid w:val="00F92C20"/>
    <w:rsid w:val="00F9361B"/>
    <w:rsid w:val="00F93E3D"/>
    <w:rsid w:val="00FA1FD0"/>
    <w:rsid w:val="00FB2B6B"/>
    <w:rsid w:val="00FC13A1"/>
    <w:rsid w:val="00FC5650"/>
    <w:rsid w:val="00FC56E8"/>
    <w:rsid w:val="00FC60A3"/>
    <w:rsid w:val="00FC6A16"/>
    <w:rsid w:val="00FD0F59"/>
    <w:rsid w:val="00FD1257"/>
    <w:rsid w:val="00FD2FFF"/>
    <w:rsid w:val="00FD4AED"/>
    <w:rsid w:val="00FD6493"/>
    <w:rsid w:val="00FE11F5"/>
    <w:rsid w:val="00FE336C"/>
    <w:rsid w:val="00FE347F"/>
    <w:rsid w:val="00FE3759"/>
    <w:rsid w:val="00FE3F65"/>
    <w:rsid w:val="00FE5ED7"/>
    <w:rsid w:val="00FE6C21"/>
    <w:rsid w:val="00FE72D3"/>
    <w:rsid w:val="00FE7EAA"/>
    <w:rsid w:val="00FF0529"/>
    <w:rsid w:val="00FF0CA4"/>
    <w:rsid w:val="00FF3C93"/>
    <w:rsid w:val="00FF3E5B"/>
    <w:rsid w:val="00FF47D5"/>
    <w:rsid w:val="00FF6492"/>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61E68"/>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4CC"/>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0318AF"/>
    <w:rPr>
      <w:sz w:val="24"/>
      <w:szCs w:val="24"/>
      <w:lang w:eastAsia="en-US"/>
    </w:rPr>
  </w:style>
  <w:style w:type="character" w:customStyle="1" w:styleId="spelle">
    <w:name w:val="spelle"/>
    <w:basedOn w:val="DefaultParagraphFont"/>
    <w:rsid w:val="00AA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337002620">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359501281">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E272-3FD0-4D63-9F96-FE102D4F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1829</Words>
  <Characters>11989</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13791</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Ieva Klinsone</cp:lastModifiedBy>
  <cp:revision>3</cp:revision>
  <cp:lastPrinted>2020-11-02T08:15:00Z</cp:lastPrinted>
  <dcterms:created xsi:type="dcterms:W3CDTF">2021-11-01T14:04:00Z</dcterms:created>
  <dcterms:modified xsi:type="dcterms:W3CDTF">2021-11-01T14:04:00Z</dcterms:modified>
</cp:coreProperties>
</file>