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6DE1C301"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C9004D" w:rsidRPr="00C9004D">
              <w:rPr>
                <w:rFonts w:ascii="Times New Roman" w:hAnsi="Times New Roman"/>
                <w:iCs/>
                <w:sz w:val="20"/>
                <w:szCs w:val="24"/>
                <w:lang w:eastAsia="lv-LV"/>
              </w:rPr>
              <w:t xml:space="preserve">Grozījumi </w:t>
            </w:r>
            <w:r w:rsidR="00B66BA0" w:rsidRPr="00B66BA0">
              <w:rPr>
                <w:rFonts w:ascii="Times New Roman" w:hAnsi="Times New Roman"/>
                <w:iCs/>
                <w:sz w:val="20"/>
                <w:szCs w:val="24"/>
                <w:lang w:eastAsia="lv-LV"/>
              </w:rPr>
              <w:t>Kredītiestāžu likumā</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9B51A8">
              <w:rPr>
                <w:rFonts w:ascii="Times New Roman" w:hAnsi="Times New Roman"/>
                <w:iCs/>
                <w:sz w:val="20"/>
                <w:szCs w:val="24"/>
                <w:lang w:eastAsia="lv-LV"/>
              </w:rPr>
              <w:t>5</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680"/>
        <w:gridCol w:w="3051"/>
        <w:gridCol w:w="3402"/>
        <w:gridCol w:w="2268"/>
        <w:gridCol w:w="2268"/>
      </w:tblGrid>
      <w:tr w:rsidR="00A33F1F" w:rsidRPr="00184920" w14:paraId="1EE62536" w14:textId="77777777" w:rsidTr="00E86752">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680"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051"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3402"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268"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2268"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E86752">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680"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051"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3402"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268"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2268"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856C0E" w:rsidRPr="00184920" w14:paraId="7C103343" w14:textId="77777777" w:rsidTr="00BC081F">
        <w:tc>
          <w:tcPr>
            <w:tcW w:w="14485" w:type="dxa"/>
            <w:gridSpan w:val="6"/>
            <w:tcBorders>
              <w:top w:val="single" w:sz="6" w:space="0" w:color="000000"/>
              <w:left w:val="single" w:sz="6" w:space="0" w:color="000000"/>
              <w:bottom w:val="single" w:sz="6" w:space="0" w:color="000000"/>
              <w:right w:val="single" w:sz="6" w:space="0" w:color="000000"/>
            </w:tcBorders>
            <w:vAlign w:val="center"/>
          </w:tcPr>
          <w:p w14:paraId="35E061AE" w14:textId="4BE16A2B" w:rsidR="00856C0E" w:rsidRDefault="00856C0E"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Informācija par starpministriju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21205D4C"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847608">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FC7D31">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817"/>
        <w:gridCol w:w="449"/>
        <w:gridCol w:w="2672"/>
        <w:gridCol w:w="3444"/>
        <w:gridCol w:w="405"/>
        <w:gridCol w:w="3216"/>
      </w:tblGrid>
      <w:tr w:rsidR="001A4587" w:rsidRPr="00184920" w14:paraId="687CD11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309"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848"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CC2510">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309"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848"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94028F" w:rsidRPr="00184920" w14:paraId="17F1D6D2"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2D55DF7" w14:textId="3117FB9D" w:rsidR="0094028F" w:rsidRPr="00184920" w:rsidRDefault="0094028F" w:rsidP="0094028F">
            <w:pPr>
              <w:spacing w:after="0" w:line="240" w:lineRule="auto"/>
              <w:jc w:val="center"/>
              <w:rPr>
                <w:rFonts w:ascii="Times New Roman" w:eastAsia="Times New Roman" w:hAnsi="Times New Roman" w:cs="Times New Roman"/>
                <w:sz w:val="20"/>
                <w:lang w:eastAsia="lv-LV"/>
              </w:rPr>
            </w:pPr>
            <w:bookmarkStart w:id="7" w:name="_GoBack" w:colFirst="1" w:colLast="1"/>
            <w:r>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tcPr>
          <w:p w14:paraId="33A7B012" w14:textId="77777777" w:rsidR="0094028F" w:rsidRPr="00B66BA0" w:rsidRDefault="0094028F" w:rsidP="0094028F">
            <w:pPr>
              <w:pStyle w:val="ListParagraph"/>
              <w:spacing w:before="120" w:line="240" w:lineRule="auto"/>
              <w:ind w:left="0"/>
              <w:contextualSpacing w:val="0"/>
              <w:jc w:val="both"/>
              <w:rPr>
                <w:rFonts w:ascii="Times New Roman" w:hAnsi="Times New Roman" w:cs="Times New Roman"/>
                <w:sz w:val="20"/>
                <w:szCs w:val="20"/>
              </w:rPr>
            </w:pPr>
            <w:r w:rsidRPr="00B66BA0">
              <w:rPr>
                <w:rFonts w:ascii="Times New Roman" w:hAnsi="Times New Roman" w:cs="Times New Roman"/>
                <w:color w:val="000000"/>
                <w:sz w:val="20"/>
                <w:szCs w:val="20"/>
                <w:lang w:eastAsia="lv-LV"/>
              </w:rPr>
              <w:t>Papildināt ar 11.</w:t>
            </w:r>
            <w:r w:rsidRPr="00B66BA0">
              <w:rPr>
                <w:rFonts w:ascii="Times New Roman" w:hAnsi="Times New Roman" w:cs="Times New Roman"/>
                <w:color w:val="000000"/>
                <w:sz w:val="20"/>
                <w:szCs w:val="20"/>
                <w:vertAlign w:val="superscript"/>
                <w:lang w:eastAsia="lv-LV"/>
              </w:rPr>
              <w:t>2</w:t>
            </w:r>
            <w:r w:rsidRPr="00B66BA0">
              <w:rPr>
                <w:rFonts w:ascii="Times New Roman" w:hAnsi="Times New Roman" w:cs="Times New Roman"/>
                <w:color w:val="000000"/>
                <w:sz w:val="20"/>
                <w:szCs w:val="20"/>
                <w:lang w:eastAsia="lv-LV"/>
              </w:rPr>
              <w:t xml:space="preserve"> pantu šādā redakcijā:</w:t>
            </w:r>
          </w:p>
          <w:p w14:paraId="431A6F72" w14:textId="77777777" w:rsidR="0094028F" w:rsidRPr="00B66BA0" w:rsidRDefault="0094028F" w:rsidP="0094028F">
            <w:pPr>
              <w:pStyle w:val="ListParagraph"/>
              <w:shd w:val="clear" w:color="auto" w:fill="FFFFFF"/>
              <w:spacing w:line="240" w:lineRule="auto"/>
              <w:ind w:left="0"/>
              <w:jc w:val="both"/>
              <w:rPr>
                <w:rFonts w:ascii="Times New Roman" w:hAnsi="Times New Roman" w:cs="Times New Roman"/>
                <w:noProof/>
                <w:sz w:val="20"/>
                <w:szCs w:val="20"/>
                <w:lang w:eastAsia="lv-LV"/>
              </w:rPr>
            </w:pPr>
            <w:r w:rsidRPr="00B66BA0">
              <w:rPr>
                <w:rFonts w:ascii="Times New Roman" w:hAnsi="Times New Roman" w:cs="Times New Roman"/>
                <w:color w:val="000000"/>
                <w:sz w:val="20"/>
                <w:szCs w:val="20"/>
                <w:lang w:eastAsia="lv-LV"/>
              </w:rPr>
              <w:t>“</w:t>
            </w:r>
            <w:r w:rsidRPr="00B66BA0">
              <w:rPr>
                <w:rFonts w:ascii="Times New Roman" w:hAnsi="Times New Roman" w:cs="Times New Roman"/>
                <w:b/>
                <w:bCs/>
                <w:noProof/>
                <w:sz w:val="20"/>
                <w:szCs w:val="20"/>
                <w:lang w:eastAsia="lv-LV"/>
              </w:rPr>
              <w:t>11.</w:t>
            </w:r>
            <w:r w:rsidRPr="00B66BA0">
              <w:rPr>
                <w:rFonts w:ascii="Times New Roman" w:hAnsi="Times New Roman" w:cs="Times New Roman"/>
                <w:b/>
                <w:bCs/>
                <w:noProof/>
                <w:sz w:val="20"/>
                <w:szCs w:val="20"/>
                <w:vertAlign w:val="superscript"/>
                <w:lang w:eastAsia="lv-LV"/>
              </w:rPr>
              <w:t>2</w:t>
            </w:r>
            <w:r w:rsidRPr="00B66BA0">
              <w:rPr>
                <w:rFonts w:ascii="Times New Roman" w:hAnsi="Times New Roman" w:cs="Times New Roman"/>
                <w:b/>
                <w:bCs/>
                <w:noProof/>
                <w:sz w:val="20"/>
                <w:szCs w:val="20"/>
                <w:lang w:eastAsia="lv-LV"/>
              </w:rPr>
              <w:t xml:space="preserve"> pants</w:t>
            </w:r>
            <w:r w:rsidRPr="00B66BA0">
              <w:rPr>
                <w:rFonts w:ascii="Times New Roman" w:hAnsi="Times New Roman" w:cs="Times New Roman"/>
                <w:noProof/>
                <w:sz w:val="20"/>
                <w:szCs w:val="20"/>
                <w:lang w:eastAsia="lv-LV"/>
              </w:rPr>
              <w:t xml:space="preserve"> </w:t>
            </w:r>
          </w:p>
          <w:p w14:paraId="1E827A4A" w14:textId="6832313E" w:rsidR="0094028F" w:rsidRPr="00184920" w:rsidRDefault="0094028F" w:rsidP="0094028F">
            <w:pPr>
              <w:spacing w:after="0" w:line="240" w:lineRule="auto"/>
              <w:jc w:val="both"/>
              <w:rPr>
                <w:rFonts w:ascii="Times New Roman" w:eastAsia="Times New Roman" w:hAnsi="Times New Roman" w:cs="Times New Roman"/>
                <w:sz w:val="20"/>
                <w:lang w:eastAsia="lv-LV"/>
              </w:rPr>
            </w:pPr>
            <w:r w:rsidRPr="00B66BA0">
              <w:rPr>
                <w:rFonts w:ascii="Times New Roman" w:hAnsi="Times New Roman" w:cs="Times New Roman"/>
                <w:noProof/>
                <w:sz w:val="20"/>
                <w:szCs w:val="20"/>
              </w:rPr>
              <w:t xml:space="preserve">(1) Ieguldījumu brokeru sabiedrība, kas sniedz Finanšu instrumentu tirgus likuma 3. panta ceturtās daļas </w:t>
            </w:r>
            <w:r w:rsidRPr="00B66BA0">
              <w:rPr>
                <w:rFonts w:ascii="Times New Roman" w:hAnsi="Times New Roman" w:cs="Times New Roman"/>
                <w:noProof/>
                <w:sz w:val="20"/>
                <w:szCs w:val="20"/>
              </w:rPr>
              <w:lastRenderedPageBreak/>
              <w:t xml:space="preserve">3. vai 6. punktā minēto ieguldījumu pakalpojumu un kura atbilst kādam no ES regulas Nr. 575/2013 4.panta 1.punkta “b” apakšpunktā minētajiem kritērijiem, iesniedz Finanšu un kapitāla tirgus komisijai iesniegumu kredītiestādes licences (atļaujas) saņemšanai </w:t>
            </w:r>
            <w:r w:rsidRPr="00B66BA0">
              <w:rPr>
                <w:rFonts w:ascii="Times New Roman" w:hAnsi="Times New Roman" w:cs="Times New Roman"/>
                <w:noProof/>
                <w:sz w:val="20"/>
                <w:szCs w:val="20"/>
                <w:u w:val="single"/>
              </w:rPr>
              <w:t>vēlākais dienā, kad ir iestājies kāds no šādiem nosacījumiem</w:t>
            </w:r>
            <w:r w:rsidRPr="00B66BA0">
              <w:rPr>
                <w:rFonts w:ascii="Times New Roman" w:hAnsi="Times New Roman" w:cs="Times New Roman"/>
                <w:noProof/>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0E9A2D25" w14:textId="295ABEC1"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sidRPr="00B66BA0">
              <w:rPr>
                <w:rFonts w:ascii="Times New Roman" w:hAnsi="Times New Roman" w:cs="Times New Roman"/>
                <w:b/>
                <w:sz w:val="20"/>
                <w:szCs w:val="20"/>
              </w:rPr>
              <w:lastRenderedPageBreak/>
              <w:t>Iebildums.</w:t>
            </w:r>
            <w:r w:rsidRPr="00B66BA0">
              <w:rPr>
                <w:rFonts w:ascii="Times New Roman" w:hAnsi="Times New Roman" w:cs="Times New Roman"/>
                <w:sz w:val="20"/>
                <w:szCs w:val="20"/>
              </w:rPr>
              <w:t xml:space="preserve"> Vēršam uzmanību uz to, ka Likumprojekta 2. pantā paredzētajā Kredītiestāžu likuma (turpmāk – Likums) 11.</w:t>
            </w:r>
            <w:r w:rsidRPr="00B66BA0">
              <w:rPr>
                <w:rFonts w:ascii="Times New Roman" w:hAnsi="Times New Roman" w:cs="Times New Roman"/>
                <w:sz w:val="20"/>
                <w:szCs w:val="20"/>
                <w:vertAlign w:val="superscript"/>
              </w:rPr>
              <w:t>2</w:t>
            </w:r>
            <w:r w:rsidRPr="00B66BA0">
              <w:rPr>
                <w:rFonts w:ascii="Times New Roman" w:hAnsi="Times New Roman" w:cs="Times New Roman"/>
                <w:sz w:val="20"/>
                <w:szCs w:val="20"/>
              </w:rPr>
              <w:t xml:space="preserve"> panta pirmās daļas ievaddaļā minētie vārdi "vēlākais dienā, kad iestājies kāds no šiem nosacījumiem" ir neskaidri, proti, nav skaidrs, kad pirms iepriekš minētās dienas var iesniegt attiecīgo iesniegumu Finanšu un kapitāla tirgus komisijai (turpmāk – Komisija). Ievērojot minēto, lūdzam precizēt projekta 2. pantā paredzētajā Likuma 11.</w:t>
            </w:r>
            <w:r w:rsidRPr="00B66BA0">
              <w:rPr>
                <w:rFonts w:ascii="Times New Roman" w:hAnsi="Times New Roman" w:cs="Times New Roman"/>
                <w:sz w:val="20"/>
                <w:szCs w:val="20"/>
                <w:vertAlign w:val="superscript"/>
              </w:rPr>
              <w:t>2</w:t>
            </w:r>
            <w:r w:rsidRPr="00B66BA0">
              <w:rPr>
                <w:rFonts w:ascii="Times New Roman" w:hAnsi="Times New Roman" w:cs="Times New Roman"/>
                <w:sz w:val="20"/>
                <w:szCs w:val="20"/>
              </w:rPr>
              <w:t xml:space="preserve"> panta pirmās daļas ievaddaļā ietverto </w:t>
            </w:r>
            <w:r w:rsidRPr="00B66BA0">
              <w:rPr>
                <w:rFonts w:ascii="Times New Roman" w:hAnsi="Times New Roman" w:cs="Times New Roman"/>
                <w:sz w:val="20"/>
                <w:szCs w:val="20"/>
              </w:rPr>
              <w:lastRenderedPageBreak/>
              <w:t>regulējumu vai papildināt Anotāciju ar atbilstošu skaidrojumu.</w:t>
            </w:r>
          </w:p>
        </w:tc>
        <w:tc>
          <w:tcPr>
            <w:tcW w:w="848" w:type="pct"/>
            <w:gridSpan w:val="2"/>
            <w:tcBorders>
              <w:top w:val="single" w:sz="6" w:space="0" w:color="000000"/>
              <w:left w:val="single" w:sz="6" w:space="0" w:color="000000"/>
              <w:bottom w:val="single" w:sz="6" w:space="0" w:color="000000"/>
              <w:right w:val="single" w:sz="6" w:space="0" w:color="000000"/>
            </w:tcBorders>
          </w:tcPr>
          <w:p w14:paraId="6D6F5C3B" w14:textId="77777777" w:rsidR="0094028F" w:rsidRDefault="0094028F" w:rsidP="0094028F">
            <w:pPr>
              <w:spacing w:after="0" w:line="240" w:lineRule="auto"/>
              <w:jc w:val="both"/>
              <w:rPr>
                <w:rFonts w:ascii="Times New Roman" w:eastAsia="Times New Roman" w:hAnsi="Times New Roman" w:cs="Times New Roman"/>
                <w:sz w:val="20"/>
                <w:szCs w:val="20"/>
              </w:rPr>
            </w:pPr>
            <w:r w:rsidRPr="00291964">
              <w:rPr>
                <w:rFonts w:ascii="Times New Roman" w:eastAsia="Times New Roman" w:hAnsi="Times New Roman" w:cs="Times New Roman"/>
                <w:b/>
                <w:bCs/>
                <w:sz w:val="20"/>
                <w:szCs w:val="20"/>
              </w:rPr>
              <w:lastRenderedPageBreak/>
              <w:t>Iebildums ņemt vērā.</w:t>
            </w:r>
            <w:r>
              <w:rPr>
                <w:rFonts w:ascii="Times New Roman" w:eastAsia="Times New Roman" w:hAnsi="Times New Roman" w:cs="Times New Roman"/>
                <w:b/>
                <w:bCs/>
                <w:sz w:val="20"/>
                <w:szCs w:val="20"/>
              </w:rPr>
              <w:t xml:space="preserve"> Sniedzam skaidrojumu. </w:t>
            </w:r>
            <w:r>
              <w:rPr>
                <w:rFonts w:ascii="Times New Roman" w:eastAsia="Times New Roman" w:hAnsi="Times New Roman" w:cs="Times New Roman"/>
                <w:sz w:val="20"/>
                <w:szCs w:val="20"/>
              </w:rPr>
              <w:t>Vēršam uzmanību, ka likumprojekta 2.pantā, Kredītiestāžu likuma 11.</w:t>
            </w:r>
            <w:r w:rsidRPr="005D22D8">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panta pirmajā daļā tiek pārņemtas Direktīvas Nr. 2019/2034 62.panta 6.punkta prasības. Papildus papildinam anotāciju ar sekojošo:</w:t>
            </w:r>
          </w:p>
          <w:p w14:paraId="4BC2AA20" w14:textId="64322DC1"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rPr>
              <w:lastRenderedPageBreak/>
              <w:t>“</w:t>
            </w:r>
            <w:r w:rsidRPr="002A7CE2">
              <w:rPr>
                <w:rFonts w:ascii="Times New Roman" w:eastAsia="Times New Roman" w:hAnsi="Times New Roman" w:cs="Times New Roman"/>
                <w:sz w:val="20"/>
                <w:szCs w:val="20"/>
              </w:rPr>
              <w:t>Ieguldījumu brokeru sabiedrība iesniedz iesniegumu Finanšu un kapitāla tirgus komisijai kredītiestādes licences (atļaujas) saņemšanai jebkurā brīdī, kad tā konstatē, ka iepriekšminētie nosacījumi iestāsies, bet ne vēlāk kā dienā, kad ir iestājies kāds no iepriekšminētajiem nosacījumiem.</w:t>
            </w:r>
            <w:r>
              <w:rPr>
                <w:rFonts w:ascii="Times New Roman" w:eastAsia="Times New Roman" w:hAnsi="Times New Roman" w:cs="Times New Roman"/>
                <w:sz w:val="20"/>
                <w:szCs w:val="20"/>
              </w:rPr>
              <w:t>”.</w:t>
            </w:r>
          </w:p>
        </w:tc>
        <w:tc>
          <w:tcPr>
            <w:tcW w:w="936" w:type="pct"/>
            <w:tcBorders>
              <w:top w:val="single" w:sz="4" w:space="0" w:color="auto"/>
              <w:left w:val="single" w:sz="4" w:space="0" w:color="auto"/>
              <w:bottom w:val="single" w:sz="4" w:space="0" w:color="auto"/>
              <w:right w:val="single" w:sz="4" w:space="0" w:color="auto"/>
            </w:tcBorders>
          </w:tcPr>
          <w:p w14:paraId="2CF93344" w14:textId="77777777" w:rsidR="0094028F" w:rsidRDefault="0094028F" w:rsidP="0094028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Likumprojekta 2.pants, Kredītiestāžu likuma 11.</w:t>
            </w:r>
            <w:r w:rsidRPr="00C06A4F">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panta pirmā daļa:</w:t>
            </w:r>
          </w:p>
          <w:p w14:paraId="6F308853" w14:textId="77777777" w:rsidR="0094028F" w:rsidRPr="00B66BA0" w:rsidRDefault="0094028F" w:rsidP="0094028F">
            <w:pPr>
              <w:pStyle w:val="ListParagraph"/>
              <w:shd w:val="clear" w:color="auto" w:fill="FFFFFF"/>
              <w:spacing w:line="240" w:lineRule="auto"/>
              <w:ind w:left="0"/>
              <w:jc w:val="both"/>
              <w:rPr>
                <w:rFonts w:ascii="Times New Roman" w:hAnsi="Times New Roman" w:cs="Times New Roman"/>
                <w:noProof/>
                <w:sz w:val="20"/>
                <w:szCs w:val="20"/>
                <w:lang w:eastAsia="lv-LV"/>
              </w:rPr>
            </w:pPr>
            <w:r>
              <w:rPr>
                <w:rFonts w:ascii="Times New Roman" w:eastAsia="Times New Roman" w:hAnsi="Times New Roman" w:cs="Times New Roman"/>
                <w:sz w:val="20"/>
                <w:szCs w:val="20"/>
              </w:rPr>
              <w:t>“</w:t>
            </w:r>
            <w:r w:rsidRPr="00B66BA0">
              <w:rPr>
                <w:rFonts w:ascii="Times New Roman" w:hAnsi="Times New Roman" w:cs="Times New Roman"/>
                <w:b/>
                <w:bCs/>
                <w:noProof/>
                <w:sz w:val="20"/>
                <w:szCs w:val="20"/>
                <w:lang w:eastAsia="lv-LV"/>
              </w:rPr>
              <w:t>11.</w:t>
            </w:r>
            <w:r w:rsidRPr="00B66BA0">
              <w:rPr>
                <w:rFonts w:ascii="Times New Roman" w:hAnsi="Times New Roman" w:cs="Times New Roman"/>
                <w:b/>
                <w:bCs/>
                <w:noProof/>
                <w:sz w:val="20"/>
                <w:szCs w:val="20"/>
                <w:vertAlign w:val="superscript"/>
                <w:lang w:eastAsia="lv-LV"/>
              </w:rPr>
              <w:t>2</w:t>
            </w:r>
            <w:r w:rsidRPr="00B66BA0">
              <w:rPr>
                <w:rFonts w:ascii="Times New Roman" w:hAnsi="Times New Roman" w:cs="Times New Roman"/>
                <w:b/>
                <w:bCs/>
                <w:noProof/>
                <w:sz w:val="20"/>
                <w:szCs w:val="20"/>
                <w:lang w:eastAsia="lv-LV"/>
              </w:rPr>
              <w:t xml:space="preserve"> pants</w:t>
            </w:r>
            <w:r w:rsidRPr="00B66BA0">
              <w:rPr>
                <w:rFonts w:ascii="Times New Roman" w:hAnsi="Times New Roman" w:cs="Times New Roman"/>
                <w:noProof/>
                <w:sz w:val="20"/>
                <w:szCs w:val="20"/>
                <w:lang w:eastAsia="lv-LV"/>
              </w:rPr>
              <w:t xml:space="preserve"> </w:t>
            </w:r>
          </w:p>
          <w:p w14:paraId="0605649F" w14:textId="33EAC313"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bookmarkStart w:id="8" w:name="_Hlk69211509"/>
            <w:r w:rsidRPr="00B66BA0">
              <w:rPr>
                <w:rFonts w:ascii="Times New Roman" w:hAnsi="Times New Roman" w:cs="Times New Roman"/>
                <w:noProof/>
                <w:sz w:val="20"/>
                <w:szCs w:val="20"/>
              </w:rPr>
              <w:t xml:space="preserve">(1) Ieguldījumu brokeru sabiedrība, kas sniedz Finanšu instrumentu tirgus likuma 3. panta ceturtās daļas 3. vai 6. punktā minēto ieguldījumu pakalpojumu un kura atbilst kādam no ES regulas Nr. </w:t>
            </w:r>
            <w:r w:rsidRPr="00B66BA0">
              <w:rPr>
                <w:rFonts w:ascii="Times New Roman" w:hAnsi="Times New Roman" w:cs="Times New Roman"/>
                <w:noProof/>
                <w:sz w:val="20"/>
                <w:szCs w:val="20"/>
              </w:rPr>
              <w:lastRenderedPageBreak/>
              <w:t xml:space="preserve">575/2013 4.panta 1.punkta “b” apakšpunktā minētajiem kritērijiem, iesniedz Finanšu un kapitāla tirgus komisijai iesniegumu kredītiestādes licences (atļaujas) saņemšanai </w:t>
            </w:r>
            <w:r w:rsidRPr="001E3425">
              <w:rPr>
                <w:rFonts w:ascii="Times New Roman" w:hAnsi="Times New Roman" w:cs="Times New Roman"/>
                <w:noProof/>
                <w:sz w:val="20"/>
                <w:szCs w:val="20"/>
                <w:u w:val="single"/>
              </w:rPr>
              <w:t>ne</w:t>
            </w:r>
            <w:r w:rsidRPr="001E3425">
              <w:rPr>
                <w:noProof/>
                <w:u w:val="single"/>
              </w:rPr>
              <w:t xml:space="preserve"> </w:t>
            </w:r>
            <w:r w:rsidRPr="001E3425">
              <w:rPr>
                <w:rFonts w:ascii="Times New Roman" w:hAnsi="Times New Roman" w:cs="Times New Roman"/>
                <w:noProof/>
                <w:sz w:val="20"/>
                <w:szCs w:val="20"/>
                <w:u w:val="single"/>
              </w:rPr>
              <w:t>vēlāk kā līdz dienai, kad ir iestājies kāds no šādiem nosacījumiem</w:t>
            </w:r>
            <w:r w:rsidRPr="00B66BA0">
              <w:rPr>
                <w:rFonts w:ascii="Times New Roman" w:hAnsi="Times New Roman" w:cs="Times New Roman"/>
                <w:noProof/>
                <w:sz w:val="20"/>
                <w:szCs w:val="20"/>
              </w:rPr>
              <w:t>:</w:t>
            </w:r>
            <w:bookmarkEnd w:id="8"/>
          </w:p>
        </w:tc>
      </w:tr>
      <w:bookmarkEnd w:id="7"/>
      <w:tr w:rsidR="0094028F" w:rsidRPr="00184920" w14:paraId="2F9C6B3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97BB817" w14:textId="602D740C" w:rsidR="0094028F" w:rsidRPr="00184920" w:rsidRDefault="0094028F" w:rsidP="0094028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w:t>
            </w:r>
          </w:p>
        </w:tc>
        <w:tc>
          <w:tcPr>
            <w:tcW w:w="692" w:type="pct"/>
            <w:tcBorders>
              <w:top w:val="single" w:sz="6" w:space="0" w:color="000000"/>
              <w:left w:val="single" w:sz="6" w:space="0" w:color="000000"/>
              <w:bottom w:val="single" w:sz="6" w:space="0" w:color="000000"/>
              <w:right w:val="single" w:sz="6" w:space="0" w:color="000000"/>
            </w:tcBorders>
          </w:tcPr>
          <w:p w14:paraId="0A52221A" w14:textId="63BEDC91" w:rsidR="0094028F" w:rsidRPr="00184920" w:rsidRDefault="0094028F" w:rsidP="0094028F">
            <w:pPr>
              <w:spacing w:after="0" w:line="240" w:lineRule="auto"/>
              <w:jc w:val="both"/>
              <w:rPr>
                <w:rFonts w:ascii="Times New Roman" w:eastAsia="Times New Roman" w:hAnsi="Times New Roman" w:cs="Times New Roman"/>
                <w:sz w:val="20"/>
                <w:lang w:eastAsia="lv-LV"/>
              </w:rPr>
            </w:pPr>
            <w:r w:rsidRPr="00B66BA0">
              <w:rPr>
                <w:rFonts w:ascii="Times New Roman" w:hAnsi="Times New Roman"/>
                <w:noProof/>
                <w:sz w:val="20"/>
                <w:szCs w:val="20"/>
                <w:lang w:eastAsia="lv-LV"/>
              </w:rPr>
              <w:t xml:space="preserve">(2) Ieguldījumu brokeru sabiedrība kredītiestādes licenci (atļauju) saņem </w:t>
            </w:r>
            <w:r w:rsidRPr="00B66BA0">
              <w:rPr>
                <w:rFonts w:ascii="Times New Roman" w:hAnsi="Times New Roman"/>
                <w:noProof/>
                <w:sz w:val="20"/>
                <w:szCs w:val="20"/>
                <w:u w:val="single"/>
                <w:lang w:eastAsia="lv-LV"/>
              </w:rPr>
              <w:t>ievērojot šā likuma II nodaļā noteiktās prasības</w:t>
            </w:r>
            <w:r>
              <w:rPr>
                <w:rFonts w:ascii="Times New Roman" w:hAnsi="Times New Roman"/>
                <w:noProof/>
                <w:sz w:val="20"/>
                <w:szCs w:val="20"/>
                <w:lang w:eastAsia="lv-LV"/>
              </w:rPr>
              <w:t>.</w:t>
            </w:r>
          </w:p>
        </w:tc>
        <w:tc>
          <w:tcPr>
            <w:tcW w:w="1309" w:type="pct"/>
            <w:tcBorders>
              <w:top w:val="single" w:sz="6" w:space="0" w:color="000000"/>
              <w:left w:val="single" w:sz="6" w:space="0" w:color="000000"/>
              <w:bottom w:val="single" w:sz="6" w:space="0" w:color="000000"/>
              <w:right w:val="single" w:sz="6" w:space="0" w:color="000000"/>
            </w:tcBorders>
          </w:tcPr>
          <w:p w14:paraId="0BF2E776" w14:textId="50E63F82" w:rsidR="0094028F" w:rsidRPr="0094028F" w:rsidRDefault="0094028F" w:rsidP="0094028F">
            <w:pPr>
              <w:spacing w:after="0" w:line="240" w:lineRule="auto"/>
              <w:jc w:val="both"/>
              <w:rPr>
                <w:rFonts w:ascii="Times New Roman" w:eastAsia="Times New Roman" w:hAnsi="Times New Roman" w:cs="Times New Roman"/>
                <w:sz w:val="20"/>
                <w:szCs w:val="20"/>
                <w:lang w:eastAsia="lv-LV"/>
              </w:rPr>
            </w:pPr>
            <w:r w:rsidRPr="0094028F">
              <w:rPr>
                <w:rFonts w:ascii="Times New Roman" w:hAnsi="Times New Roman" w:cs="Times New Roman"/>
                <w:b/>
                <w:sz w:val="20"/>
                <w:szCs w:val="20"/>
              </w:rPr>
              <w:t xml:space="preserve">Iebildums. </w:t>
            </w:r>
            <w:r w:rsidRPr="0094028F">
              <w:rPr>
                <w:rFonts w:ascii="Times New Roman" w:hAnsi="Times New Roman" w:cs="Times New Roman"/>
                <w:sz w:val="20"/>
                <w:szCs w:val="20"/>
              </w:rPr>
              <w:t>Lūdzam precizēt Likumprojekta 2. pantā paredzētajā Likuma 11.</w:t>
            </w:r>
            <w:r w:rsidRPr="0094028F">
              <w:rPr>
                <w:rFonts w:ascii="Times New Roman" w:hAnsi="Times New Roman" w:cs="Times New Roman"/>
                <w:sz w:val="20"/>
                <w:szCs w:val="20"/>
                <w:vertAlign w:val="superscript"/>
              </w:rPr>
              <w:t>2</w:t>
            </w:r>
            <w:r w:rsidRPr="0094028F">
              <w:rPr>
                <w:rFonts w:ascii="Times New Roman" w:hAnsi="Times New Roman" w:cs="Times New Roman"/>
                <w:sz w:val="20"/>
                <w:szCs w:val="20"/>
              </w:rPr>
              <w:t xml:space="preserve"> panta otrajā daļā ietverto atsauci uz visu Likuma II nodaļu, jo tā ir pārāk plaša un līdz ar to neskaidra.</w:t>
            </w:r>
          </w:p>
        </w:tc>
        <w:tc>
          <w:tcPr>
            <w:tcW w:w="848" w:type="pct"/>
            <w:gridSpan w:val="2"/>
            <w:tcBorders>
              <w:top w:val="single" w:sz="6" w:space="0" w:color="000000"/>
              <w:left w:val="single" w:sz="6" w:space="0" w:color="000000"/>
              <w:bottom w:val="single" w:sz="6" w:space="0" w:color="000000"/>
              <w:right w:val="single" w:sz="6" w:space="0" w:color="000000"/>
            </w:tcBorders>
          </w:tcPr>
          <w:p w14:paraId="00A64D32" w14:textId="0B31E35C"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Iebildums ņemts vērā. Sniedzam skaidrojumu</w:t>
            </w:r>
            <w:r w:rsidRPr="00B719E1">
              <w:rPr>
                <w:rFonts w:ascii="Times New Roman" w:hAnsi="Times New Roman" w:cs="Times New Roman"/>
                <w:b/>
                <w:bCs/>
                <w:sz w:val="20"/>
                <w:szCs w:val="20"/>
              </w:rPr>
              <w:t xml:space="preserve">.  </w:t>
            </w:r>
            <w:r w:rsidRPr="00B719E1">
              <w:rPr>
                <w:rStyle w:val="cf01"/>
                <w:rFonts w:ascii="Times New Roman" w:hAnsi="Times New Roman" w:cs="Times New Roman"/>
                <w:sz w:val="20"/>
                <w:szCs w:val="20"/>
              </w:rPr>
              <w:t>Nav pieņemti un stājušies spēkā regulatīvi tehniskie standarti</w:t>
            </w:r>
            <w:r>
              <w:rPr>
                <w:rStyle w:val="cf01"/>
                <w:rFonts w:ascii="Times New Roman" w:hAnsi="Times New Roman" w:cs="Times New Roman"/>
                <w:sz w:val="20"/>
                <w:szCs w:val="20"/>
              </w:rPr>
              <w:t>(turpmāk – RTS)</w:t>
            </w:r>
            <w:r w:rsidRPr="00B719E1">
              <w:rPr>
                <w:rStyle w:val="cf01"/>
                <w:rFonts w:ascii="Times New Roman" w:hAnsi="Times New Roman" w:cs="Times New Roman"/>
                <w:sz w:val="20"/>
                <w:szCs w:val="20"/>
              </w:rPr>
              <w:t xml:space="preserve">, proti, </w:t>
            </w:r>
            <w:r>
              <w:rPr>
                <w:rStyle w:val="cf01"/>
              </w:rPr>
              <w:t>l</w:t>
            </w:r>
            <w:r w:rsidRPr="00B719E1">
              <w:rPr>
                <w:rStyle w:val="cf01"/>
                <w:rFonts w:ascii="Times New Roman" w:hAnsi="Times New Roman" w:cs="Times New Roman"/>
                <w:sz w:val="20"/>
                <w:szCs w:val="20"/>
              </w:rPr>
              <w:t xml:space="preserve">ūdzam skatīt </w:t>
            </w:r>
            <w:r>
              <w:rPr>
                <w:rStyle w:val="cf01"/>
                <w:rFonts w:ascii="Times New Roman" w:hAnsi="Times New Roman" w:cs="Times New Roman"/>
                <w:sz w:val="20"/>
                <w:szCs w:val="20"/>
              </w:rPr>
              <w:t>“</w:t>
            </w:r>
            <w:r w:rsidRPr="00B719E1">
              <w:rPr>
                <w:rStyle w:val="cf11"/>
                <w:rFonts w:ascii="Times New Roman" w:hAnsi="Times New Roman" w:cs="Times New Roman"/>
                <w:b w:val="0"/>
                <w:bCs w:val="0"/>
                <w:i/>
                <w:iCs/>
                <w:sz w:val="20"/>
                <w:szCs w:val="20"/>
              </w:rPr>
              <w:t>RTS on (a) the information to be provided for the authorisation of credit institutio</w:t>
            </w:r>
            <w:r>
              <w:rPr>
                <w:rStyle w:val="cf11"/>
                <w:rFonts w:ascii="Times New Roman" w:hAnsi="Times New Roman" w:cs="Times New Roman"/>
                <w:b w:val="0"/>
                <w:bCs w:val="0"/>
                <w:i/>
                <w:iCs/>
                <w:sz w:val="20"/>
                <w:szCs w:val="20"/>
              </w:rPr>
              <w:t>n</w:t>
            </w:r>
            <w:r>
              <w:rPr>
                <w:rStyle w:val="cf11"/>
                <w:rFonts w:ascii="Times New Roman" w:hAnsi="Times New Roman" w:cs="Times New Roman"/>
                <w:b w:val="0"/>
                <w:bCs w:val="0"/>
                <w:sz w:val="20"/>
                <w:szCs w:val="20"/>
              </w:rPr>
              <w:t>”:</w:t>
            </w:r>
            <w:r w:rsidRPr="00B719E1">
              <w:rPr>
                <w:rStyle w:val="cf11"/>
                <w:rFonts w:ascii="Times New Roman" w:hAnsi="Times New Roman" w:cs="Times New Roman"/>
                <w:sz w:val="20"/>
                <w:szCs w:val="20"/>
              </w:rPr>
              <w:t xml:space="preserve"> </w:t>
            </w:r>
            <w:hyperlink r:id="rId8" w:history="1">
              <w:r w:rsidRPr="00B719E1">
                <w:rPr>
                  <w:rStyle w:val="cf01"/>
                  <w:rFonts w:ascii="Times New Roman" w:hAnsi="Times New Roman" w:cs="Times New Roman"/>
                  <w:b/>
                  <w:bCs/>
                  <w:color w:val="0000FF"/>
                  <w:sz w:val="20"/>
                  <w:szCs w:val="20"/>
                  <w:u w:val="single"/>
                </w:rPr>
                <w:t>https://www.eba.europa.eu/sites/default/documents/files/document_library/Publications/Draft%20Technical%20Standards/2020/RTS/961461/Final%20draft%20RTS%20on%20prudential%20requirements%20for%20Investment%20Firms%20%28EBA-RTS-2020-11%29.pdf</w:t>
              </w:r>
            </w:hyperlink>
            <w:r w:rsidRPr="00B719E1">
              <w:rPr>
                <w:rStyle w:val="cf11"/>
                <w:rFonts w:ascii="Times New Roman" w:hAnsi="Times New Roman" w:cs="Times New Roman"/>
                <w:sz w:val="20"/>
                <w:szCs w:val="20"/>
              </w:rPr>
              <w:t xml:space="preserve"> </w:t>
            </w:r>
            <w:r w:rsidRPr="00B719E1">
              <w:rPr>
                <w:rStyle w:val="cf01"/>
                <w:rFonts w:ascii="Times New Roman" w:hAnsi="Times New Roman" w:cs="Times New Roman"/>
                <w:sz w:val="20"/>
                <w:szCs w:val="20"/>
              </w:rPr>
              <w:t>,</w:t>
            </w:r>
            <w:r>
              <w:rPr>
                <w:rStyle w:val="cf01"/>
                <w:rFonts w:ascii="Times New Roman" w:hAnsi="Times New Roman" w:cs="Times New Roman"/>
                <w:sz w:val="20"/>
                <w:szCs w:val="20"/>
              </w:rPr>
              <w:t xml:space="preserve"> </w:t>
            </w:r>
            <w:r w:rsidRPr="00B719E1">
              <w:rPr>
                <w:rStyle w:val="cf01"/>
                <w:rFonts w:ascii="Times New Roman" w:hAnsi="Times New Roman" w:cs="Times New Roman"/>
                <w:sz w:val="20"/>
                <w:szCs w:val="20"/>
              </w:rPr>
              <w:t xml:space="preserve">kur 25.lpp dota atsauce uz </w:t>
            </w:r>
            <w:r>
              <w:rPr>
                <w:rStyle w:val="cf01"/>
                <w:rFonts w:ascii="Times New Roman" w:hAnsi="Times New Roman" w:cs="Times New Roman"/>
                <w:sz w:val="20"/>
                <w:szCs w:val="20"/>
              </w:rPr>
              <w:t>“</w:t>
            </w:r>
            <w:r w:rsidRPr="00B719E1">
              <w:rPr>
                <w:rStyle w:val="cf01"/>
                <w:rFonts w:ascii="Times New Roman" w:hAnsi="Times New Roman" w:cs="Times New Roman"/>
                <w:i/>
                <w:iCs/>
                <w:sz w:val="20"/>
                <w:szCs w:val="20"/>
              </w:rPr>
              <w:t xml:space="preserve">draft RTS 2017/08 </w:t>
            </w:r>
            <w:r w:rsidRPr="00B719E1">
              <w:rPr>
                <w:rStyle w:val="cf21"/>
                <w:rFonts w:ascii="Times New Roman" w:hAnsi="Times New Roman" w:cs="Times New Roman"/>
                <w:i w:val="0"/>
                <w:iCs w:val="0"/>
                <w:sz w:val="20"/>
                <w:szCs w:val="20"/>
              </w:rPr>
              <w:t>on information for the authorisation of credit institutions</w:t>
            </w:r>
            <w:r>
              <w:rPr>
                <w:rStyle w:val="cf01"/>
                <w:rFonts w:ascii="Times New Roman" w:hAnsi="Times New Roman" w:cs="Times New Roman"/>
                <w:sz w:val="20"/>
                <w:szCs w:val="20"/>
              </w:rPr>
              <w:t>”</w:t>
            </w:r>
            <w:r w:rsidRPr="00B719E1">
              <w:rPr>
                <w:rStyle w:val="cf01"/>
                <w:rFonts w:ascii="Times New Roman" w:hAnsi="Times New Roman" w:cs="Times New Roman"/>
                <w:sz w:val="20"/>
                <w:szCs w:val="20"/>
              </w:rPr>
              <w:t xml:space="preserve">. Tā kā RTS 2017/08 vēl nav pieņemts un stājies spēkā, uzskatām, ka </w:t>
            </w:r>
            <w:r w:rsidRPr="00B719E1">
              <w:rPr>
                <w:rStyle w:val="cf11"/>
                <w:rFonts w:ascii="Times New Roman" w:hAnsi="Times New Roman" w:cs="Times New Roman"/>
                <w:b w:val="0"/>
                <w:bCs w:val="0"/>
                <w:sz w:val="20"/>
                <w:szCs w:val="20"/>
              </w:rPr>
              <w:t>11.</w:t>
            </w:r>
            <w:r w:rsidRPr="00B719E1">
              <w:rPr>
                <w:rStyle w:val="cf11"/>
                <w:rFonts w:ascii="Times New Roman" w:hAnsi="Times New Roman" w:cs="Times New Roman"/>
                <w:b w:val="0"/>
                <w:bCs w:val="0"/>
                <w:sz w:val="20"/>
                <w:szCs w:val="20"/>
                <w:vertAlign w:val="superscript"/>
              </w:rPr>
              <w:t>2</w:t>
            </w:r>
            <w:r w:rsidRPr="00B719E1">
              <w:rPr>
                <w:rStyle w:val="cf11"/>
                <w:rFonts w:ascii="Times New Roman" w:hAnsi="Times New Roman" w:cs="Times New Roman"/>
                <w:b w:val="0"/>
                <w:bCs w:val="0"/>
                <w:sz w:val="20"/>
                <w:szCs w:val="20"/>
              </w:rPr>
              <w:t xml:space="preserve"> panta otrajā daļā</w:t>
            </w:r>
            <w:r w:rsidRPr="00B719E1">
              <w:rPr>
                <w:rStyle w:val="cf11"/>
                <w:rFonts w:ascii="Times New Roman" w:hAnsi="Times New Roman" w:cs="Times New Roman"/>
                <w:sz w:val="20"/>
                <w:szCs w:val="20"/>
              </w:rPr>
              <w:t xml:space="preserve"> </w:t>
            </w:r>
            <w:r w:rsidRPr="00B719E1">
              <w:rPr>
                <w:rStyle w:val="cf01"/>
                <w:rFonts w:ascii="Times New Roman" w:hAnsi="Times New Roman" w:cs="Times New Roman"/>
                <w:sz w:val="20"/>
                <w:szCs w:val="20"/>
              </w:rPr>
              <w:t xml:space="preserve">jāatsaucas uz Kredīestāžu likumu, </w:t>
            </w:r>
            <w:r>
              <w:rPr>
                <w:rStyle w:val="cf01"/>
                <w:rFonts w:ascii="Times New Roman" w:hAnsi="Times New Roman" w:cs="Times New Roman"/>
                <w:sz w:val="20"/>
                <w:szCs w:val="20"/>
              </w:rPr>
              <w:t>Finanšu un kapitāla tirgus komisijas</w:t>
            </w:r>
            <w:r w:rsidRPr="00B719E1">
              <w:rPr>
                <w:rStyle w:val="cf01"/>
                <w:rFonts w:ascii="Times New Roman" w:hAnsi="Times New Roman" w:cs="Times New Roman"/>
                <w:sz w:val="20"/>
                <w:szCs w:val="20"/>
              </w:rPr>
              <w:t xml:space="preserve"> noteikumiem Nr. 200 (kur pagaidām ir pamatprasības licences saņemšanai) un uz tieši piemērojamo Eiropas Savienības tiesību aktos noteiktajām prasībām</w:t>
            </w:r>
            <w:r>
              <w:rPr>
                <w:rStyle w:val="cf01"/>
                <w:rFonts w:ascii="Times New Roman" w:hAnsi="Times New Roman" w:cs="Times New Roman"/>
                <w:sz w:val="20"/>
                <w:szCs w:val="20"/>
              </w:rPr>
              <w:t xml:space="preserve">. </w:t>
            </w:r>
            <w:r>
              <w:rPr>
                <w:rStyle w:val="cf01"/>
                <w:rFonts w:ascii="Times New Roman" w:hAnsi="Times New Roman" w:cs="Times New Roman"/>
                <w:sz w:val="20"/>
                <w:szCs w:val="20"/>
              </w:rPr>
              <w:lastRenderedPageBreak/>
              <w:t>K</w:t>
            </w:r>
            <w:r w:rsidRPr="00B719E1">
              <w:rPr>
                <w:rStyle w:val="cf01"/>
                <w:rFonts w:ascii="Times New Roman" w:hAnsi="Times New Roman" w:cs="Times New Roman"/>
                <w:sz w:val="20"/>
                <w:szCs w:val="20"/>
              </w:rPr>
              <w:t>amēr attiecīgais RTS nav stājies spēkā, uz konrētu Regulu atsauci dot nav iespējams.</w:t>
            </w:r>
          </w:p>
        </w:tc>
        <w:tc>
          <w:tcPr>
            <w:tcW w:w="936" w:type="pct"/>
            <w:tcBorders>
              <w:top w:val="single" w:sz="4" w:space="0" w:color="auto"/>
              <w:left w:val="single" w:sz="4" w:space="0" w:color="auto"/>
              <w:bottom w:val="single" w:sz="4" w:space="0" w:color="auto"/>
              <w:right w:val="single" w:sz="4" w:space="0" w:color="auto"/>
            </w:tcBorders>
          </w:tcPr>
          <w:p w14:paraId="3F1D01FF" w14:textId="77777777" w:rsidR="0094028F" w:rsidRDefault="0094028F" w:rsidP="0094028F">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Likumprojekta 2.pants, Kredītiestāžu likuma 11.</w:t>
            </w:r>
            <w:r w:rsidRPr="009766DA">
              <w:rPr>
                <w:rFonts w:ascii="Times New Roman" w:hAnsi="Times New Roman" w:cs="Times New Roman"/>
                <w:sz w:val="20"/>
                <w:szCs w:val="20"/>
                <w:vertAlign w:val="superscript"/>
              </w:rPr>
              <w:t>2</w:t>
            </w:r>
            <w:r>
              <w:rPr>
                <w:rFonts w:ascii="Times New Roman" w:hAnsi="Times New Roman" w:cs="Times New Roman"/>
                <w:sz w:val="20"/>
                <w:szCs w:val="20"/>
              </w:rPr>
              <w:t xml:space="preserve"> panta otrā daļa:</w:t>
            </w:r>
          </w:p>
          <w:p w14:paraId="56E26635" w14:textId="504A9189" w:rsidR="0094028F" w:rsidRPr="001304B1" w:rsidRDefault="0094028F" w:rsidP="0094028F">
            <w:pPr>
              <w:pStyle w:val="ListParagraph"/>
              <w:shd w:val="clear" w:color="auto" w:fill="FFFFFF"/>
              <w:spacing w:line="240" w:lineRule="auto"/>
              <w:ind w:left="0"/>
              <w:jc w:val="both"/>
              <w:rPr>
                <w:rFonts w:ascii="Times New Roman" w:hAnsi="Times New Roman"/>
                <w:noProof/>
                <w:sz w:val="24"/>
                <w:szCs w:val="24"/>
                <w:lang w:eastAsia="lv-LV"/>
              </w:rPr>
            </w:pPr>
            <w:r>
              <w:rPr>
                <w:rFonts w:ascii="Times New Roman" w:hAnsi="Times New Roman" w:cs="Times New Roman"/>
                <w:sz w:val="20"/>
                <w:szCs w:val="20"/>
              </w:rPr>
              <w:t>“</w:t>
            </w:r>
            <w:r w:rsidRPr="006360A7">
              <w:rPr>
                <w:rFonts w:ascii="Times New Roman" w:hAnsi="Times New Roman" w:cs="Times New Roman"/>
                <w:sz w:val="20"/>
                <w:szCs w:val="20"/>
              </w:rPr>
              <w:t>(2)</w:t>
            </w:r>
            <w:bookmarkStart w:id="9" w:name="_Hlk69213115"/>
            <w:r>
              <w:rPr>
                <w:rFonts w:ascii="Times New Roman" w:hAnsi="Times New Roman" w:cs="Times New Roman"/>
                <w:sz w:val="20"/>
                <w:szCs w:val="20"/>
              </w:rPr>
              <w:t xml:space="preserve"> </w:t>
            </w:r>
            <w:r w:rsidRPr="006360A7">
              <w:rPr>
                <w:rFonts w:ascii="Times New Roman" w:hAnsi="Times New Roman" w:cs="Times New Roman"/>
                <w:sz w:val="20"/>
                <w:szCs w:val="20"/>
              </w:rPr>
              <w:t xml:space="preserve">Ieguldījumu brokeru sabiedrība kredītiestādes licenci (atļauju) saņem </w:t>
            </w:r>
            <w:r w:rsidRPr="006360A7">
              <w:rPr>
                <w:rFonts w:ascii="Times New Roman" w:hAnsi="Times New Roman" w:cs="Times New Roman"/>
                <w:sz w:val="20"/>
                <w:szCs w:val="20"/>
                <w:u w:val="single"/>
              </w:rPr>
              <w:t>ievērojot šajā likumā, Komisijas izdotajos noteikumos  un tieši piemērojamo Eiropas Savienības tiesību aktos noteiktās prasības licences saņemšanai</w:t>
            </w:r>
            <w:bookmarkEnd w:id="9"/>
            <w:r w:rsidRPr="006360A7">
              <w:rPr>
                <w:rFonts w:ascii="Times New Roman" w:hAnsi="Times New Roman" w:cs="Times New Roman"/>
                <w:sz w:val="20"/>
                <w:szCs w:val="20"/>
              </w:rPr>
              <w:t>.</w:t>
            </w:r>
            <w:r>
              <w:rPr>
                <w:rFonts w:ascii="Times New Roman" w:hAnsi="Times New Roman" w:cs="Times New Roman"/>
                <w:sz w:val="20"/>
                <w:szCs w:val="20"/>
              </w:rPr>
              <w:t>”.</w:t>
            </w:r>
          </w:p>
          <w:p w14:paraId="06EC3AE7" w14:textId="77777777"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p>
        </w:tc>
      </w:tr>
      <w:tr w:rsidR="0094028F" w:rsidRPr="00184920" w14:paraId="6FFF289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C12FB59" w14:textId="3F9A6A52" w:rsidR="0094028F" w:rsidRPr="00184920" w:rsidRDefault="0094028F" w:rsidP="0094028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w:t>
            </w:r>
          </w:p>
        </w:tc>
        <w:tc>
          <w:tcPr>
            <w:tcW w:w="692" w:type="pct"/>
            <w:tcBorders>
              <w:top w:val="single" w:sz="6" w:space="0" w:color="000000"/>
              <w:left w:val="single" w:sz="6" w:space="0" w:color="000000"/>
              <w:bottom w:val="single" w:sz="6" w:space="0" w:color="000000"/>
              <w:right w:val="single" w:sz="6" w:space="0" w:color="000000"/>
            </w:tcBorders>
          </w:tcPr>
          <w:p w14:paraId="2F416757" w14:textId="635E855C" w:rsidR="0094028F" w:rsidRPr="009A471F" w:rsidRDefault="0094028F" w:rsidP="0094028F">
            <w:pPr>
              <w:pStyle w:val="ListParagraph"/>
              <w:shd w:val="clear" w:color="auto" w:fill="FFFFFF"/>
              <w:spacing w:line="240" w:lineRule="auto"/>
              <w:ind w:left="0"/>
              <w:jc w:val="both"/>
              <w:rPr>
                <w:rFonts w:ascii="Times New Roman" w:hAnsi="Times New Roman"/>
                <w:noProof/>
                <w:sz w:val="20"/>
                <w:szCs w:val="20"/>
                <w:lang w:eastAsia="lv-LV"/>
              </w:rPr>
            </w:pPr>
            <w:r w:rsidRPr="00B66BA0">
              <w:rPr>
                <w:rFonts w:ascii="Times New Roman" w:hAnsi="Times New Roman"/>
                <w:noProof/>
                <w:sz w:val="20"/>
                <w:szCs w:val="20"/>
                <w:lang w:eastAsia="lv-LV"/>
              </w:rPr>
              <w:t>(3) Informāciju, kas nepieciešama kredītiestādes licences (atļaujas) saņemšanai papildus šā likuma noteiktajām prasībām, nosaka tieši piemērojamie Eiropas Savienības tiesību akti.</w:t>
            </w:r>
          </w:p>
        </w:tc>
        <w:tc>
          <w:tcPr>
            <w:tcW w:w="1309" w:type="pct"/>
            <w:tcBorders>
              <w:top w:val="single" w:sz="6" w:space="0" w:color="000000"/>
              <w:left w:val="single" w:sz="6" w:space="0" w:color="000000"/>
              <w:bottom w:val="single" w:sz="6" w:space="0" w:color="000000"/>
              <w:right w:val="single" w:sz="6" w:space="0" w:color="000000"/>
            </w:tcBorders>
          </w:tcPr>
          <w:p w14:paraId="7B263E8E" w14:textId="144F9363" w:rsidR="0094028F" w:rsidRPr="009A471F" w:rsidRDefault="0094028F" w:rsidP="0094028F">
            <w:pPr>
              <w:spacing w:after="0" w:line="240" w:lineRule="auto"/>
              <w:jc w:val="both"/>
              <w:rPr>
                <w:rFonts w:ascii="Times New Roman" w:eastAsia="Times New Roman" w:hAnsi="Times New Roman" w:cs="Times New Roman"/>
                <w:sz w:val="20"/>
                <w:szCs w:val="20"/>
                <w:lang w:eastAsia="lv-LV"/>
              </w:rPr>
            </w:pPr>
            <w:r w:rsidRPr="009A471F">
              <w:rPr>
                <w:rFonts w:ascii="Times New Roman" w:hAnsi="Times New Roman" w:cs="Times New Roman"/>
                <w:b/>
                <w:sz w:val="20"/>
                <w:szCs w:val="20"/>
              </w:rPr>
              <w:t xml:space="preserve">Iebildums. </w:t>
            </w:r>
            <w:r w:rsidRPr="009A471F">
              <w:rPr>
                <w:rFonts w:ascii="Times New Roman" w:hAnsi="Times New Roman" w:cs="Times New Roman"/>
                <w:sz w:val="20"/>
                <w:szCs w:val="20"/>
              </w:rPr>
              <w:t>Ievērojot, ka nav skaidrs, kāda informācija ir minēta Likumprojekta 2. pantā paredzētajā Likuma 11.</w:t>
            </w:r>
            <w:r w:rsidRPr="009A471F">
              <w:rPr>
                <w:rFonts w:ascii="Times New Roman" w:hAnsi="Times New Roman" w:cs="Times New Roman"/>
                <w:sz w:val="20"/>
                <w:szCs w:val="20"/>
                <w:vertAlign w:val="superscript"/>
              </w:rPr>
              <w:t>2</w:t>
            </w:r>
            <w:r w:rsidRPr="009A471F">
              <w:rPr>
                <w:rFonts w:ascii="Times New Roman" w:hAnsi="Times New Roman" w:cs="Times New Roman"/>
                <w:sz w:val="20"/>
                <w:szCs w:val="20"/>
              </w:rPr>
              <w:t xml:space="preserve"> panta trešajā daļā, lūdzam precizēt Likumprojekta 2. pantā paredzētajā Likuma 11.</w:t>
            </w:r>
            <w:r w:rsidRPr="009A471F">
              <w:rPr>
                <w:rFonts w:ascii="Times New Roman" w:hAnsi="Times New Roman" w:cs="Times New Roman"/>
                <w:sz w:val="20"/>
                <w:szCs w:val="20"/>
                <w:vertAlign w:val="superscript"/>
              </w:rPr>
              <w:t>2</w:t>
            </w:r>
            <w:r w:rsidRPr="009A471F">
              <w:rPr>
                <w:rFonts w:ascii="Times New Roman" w:hAnsi="Times New Roman" w:cs="Times New Roman"/>
                <w:sz w:val="20"/>
                <w:szCs w:val="20"/>
              </w:rPr>
              <w:t xml:space="preserve"> panta trešajā daļā ietverto regulējumu, kā arī papildināt Anotāciju ar atbilstošu skaidrojumu. Vienlaikus vēršam uzmanību uz to, ka Likumprojekta 2. pantā paredzētajā Likuma 11.</w:t>
            </w:r>
            <w:r w:rsidRPr="009A471F">
              <w:rPr>
                <w:rFonts w:ascii="Times New Roman" w:hAnsi="Times New Roman" w:cs="Times New Roman"/>
                <w:sz w:val="20"/>
                <w:szCs w:val="20"/>
                <w:vertAlign w:val="superscript"/>
              </w:rPr>
              <w:t>2</w:t>
            </w:r>
            <w:r w:rsidRPr="009A471F">
              <w:rPr>
                <w:rFonts w:ascii="Times New Roman" w:hAnsi="Times New Roman" w:cs="Times New Roman"/>
                <w:sz w:val="20"/>
                <w:szCs w:val="20"/>
              </w:rPr>
              <w:t xml:space="preserve"> panta trešajā daļā ietvertā atsauce uz visu Likumu ir pārāk plaša un līdz ar to neskaidra.</w:t>
            </w:r>
          </w:p>
        </w:tc>
        <w:tc>
          <w:tcPr>
            <w:tcW w:w="848" w:type="pct"/>
            <w:gridSpan w:val="2"/>
            <w:tcBorders>
              <w:top w:val="single" w:sz="6" w:space="0" w:color="000000"/>
              <w:left w:val="single" w:sz="6" w:space="0" w:color="000000"/>
              <w:bottom w:val="single" w:sz="6" w:space="0" w:color="000000"/>
              <w:right w:val="single" w:sz="6" w:space="0" w:color="000000"/>
            </w:tcBorders>
          </w:tcPr>
          <w:p w14:paraId="053AD882" w14:textId="480B0822"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Iebildums ņemts vērā. </w:t>
            </w:r>
            <w:r w:rsidRPr="00C12188">
              <w:rPr>
                <w:rFonts w:ascii="Times New Roman" w:hAnsi="Times New Roman" w:cs="Times New Roman"/>
                <w:sz w:val="20"/>
                <w:szCs w:val="20"/>
              </w:rPr>
              <w:t>Likumprojekta 2.pants, Kredītiestāžu likuma 11.</w:t>
            </w:r>
            <w:r w:rsidRPr="00C12188">
              <w:rPr>
                <w:rFonts w:ascii="Times New Roman" w:hAnsi="Times New Roman" w:cs="Times New Roman"/>
                <w:sz w:val="20"/>
                <w:szCs w:val="20"/>
                <w:vertAlign w:val="superscript"/>
              </w:rPr>
              <w:t>2</w:t>
            </w:r>
            <w:r w:rsidRPr="00C12188">
              <w:rPr>
                <w:rFonts w:ascii="Times New Roman" w:hAnsi="Times New Roman" w:cs="Times New Roman"/>
                <w:sz w:val="20"/>
                <w:szCs w:val="20"/>
              </w:rPr>
              <w:t xml:space="preserve"> panta trešo daļu izslēdzam(attiecīgi mainot turpmāko panta daļu numerāciju), jo precizējumi panta otrajā daļā ietver arī </w:t>
            </w:r>
            <w:r>
              <w:rPr>
                <w:rFonts w:ascii="Times New Roman" w:hAnsi="Times New Roman" w:cs="Times New Roman"/>
                <w:sz w:val="20"/>
                <w:szCs w:val="20"/>
              </w:rPr>
              <w:t>š</w:t>
            </w:r>
            <w:r w:rsidRPr="00C12188">
              <w:rPr>
                <w:rFonts w:ascii="Times New Roman" w:hAnsi="Times New Roman" w:cs="Times New Roman"/>
                <w:sz w:val="20"/>
                <w:szCs w:val="20"/>
              </w:rPr>
              <w:t>ajā daļā minēto.</w:t>
            </w:r>
          </w:p>
        </w:tc>
        <w:tc>
          <w:tcPr>
            <w:tcW w:w="936" w:type="pct"/>
            <w:tcBorders>
              <w:top w:val="single" w:sz="4" w:space="0" w:color="auto"/>
              <w:left w:val="single" w:sz="4" w:space="0" w:color="auto"/>
              <w:bottom w:val="single" w:sz="4" w:space="0" w:color="auto"/>
              <w:right w:val="single" w:sz="4" w:space="0" w:color="auto"/>
            </w:tcBorders>
          </w:tcPr>
          <w:p w14:paraId="3D909DB6" w14:textId="33163809"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Likumprojekta 2.panta, Kredītiestāžu likuma 11.</w:t>
            </w:r>
            <w:r w:rsidRPr="00C12188">
              <w:rPr>
                <w:rFonts w:ascii="Times New Roman" w:hAnsi="Times New Roman" w:cs="Times New Roman"/>
                <w:sz w:val="20"/>
                <w:szCs w:val="20"/>
                <w:vertAlign w:val="superscript"/>
              </w:rPr>
              <w:t>2</w:t>
            </w:r>
            <w:r>
              <w:rPr>
                <w:rFonts w:ascii="Times New Roman" w:hAnsi="Times New Roman" w:cs="Times New Roman"/>
                <w:sz w:val="20"/>
                <w:szCs w:val="20"/>
              </w:rPr>
              <w:t xml:space="preserve"> panta trešā daļa izslēgta.</w:t>
            </w:r>
          </w:p>
        </w:tc>
      </w:tr>
      <w:tr w:rsidR="0094028F" w:rsidRPr="00184920" w14:paraId="0F872EC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AC4B153" w14:textId="33D87018" w:rsidR="0094028F" w:rsidRPr="00184920" w:rsidRDefault="0094028F" w:rsidP="0094028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w:t>
            </w:r>
          </w:p>
        </w:tc>
        <w:tc>
          <w:tcPr>
            <w:tcW w:w="692" w:type="pct"/>
            <w:tcBorders>
              <w:top w:val="single" w:sz="6" w:space="0" w:color="000000"/>
              <w:left w:val="single" w:sz="6" w:space="0" w:color="000000"/>
              <w:bottom w:val="single" w:sz="6" w:space="0" w:color="000000"/>
              <w:right w:val="single" w:sz="6" w:space="0" w:color="000000"/>
            </w:tcBorders>
          </w:tcPr>
          <w:p w14:paraId="56D384DC" w14:textId="2836715C" w:rsidR="0094028F" w:rsidRPr="00184920" w:rsidRDefault="0094028F" w:rsidP="0094028F">
            <w:pPr>
              <w:spacing w:after="0" w:line="240" w:lineRule="auto"/>
              <w:jc w:val="both"/>
              <w:rPr>
                <w:rFonts w:ascii="Times New Roman" w:eastAsia="Times New Roman" w:hAnsi="Times New Roman" w:cs="Times New Roman"/>
                <w:sz w:val="20"/>
                <w:lang w:eastAsia="lv-LV"/>
              </w:rPr>
            </w:pPr>
            <w:r w:rsidRPr="00B66BA0">
              <w:rPr>
                <w:rFonts w:ascii="Times New Roman" w:hAnsi="Times New Roman" w:cs="Times New Roman"/>
                <w:noProof/>
                <w:sz w:val="20"/>
                <w:szCs w:val="20"/>
              </w:rPr>
              <w:t>(4) Izskatot šā panta pirmajā daļā minēto iesniegumu kredītiestādes licences (atļaujas) saņemšanai, Finanšu un kapitāla tirgus komisija ņem vērā visu tai pieejamo informāciju par ieguldījumu brokeru sabiedrību, un nepieprasa to sniegt atkārtoti.</w:t>
            </w:r>
          </w:p>
        </w:tc>
        <w:tc>
          <w:tcPr>
            <w:tcW w:w="1309" w:type="pct"/>
            <w:tcBorders>
              <w:top w:val="single" w:sz="6" w:space="0" w:color="000000"/>
              <w:left w:val="single" w:sz="6" w:space="0" w:color="000000"/>
              <w:bottom w:val="single" w:sz="6" w:space="0" w:color="000000"/>
              <w:right w:val="single" w:sz="6" w:space="0" w:color="000000"/>
            </w:tcBorders>
          </w:tcPr>
          <w:p w14:paraId="0B9CBF3F" w14:textId="305AFCD6" w:rsidR="0094028F" w:rsidRPr="00E345D6" w:rsidRDefault="0094028F" w:rsidP="0094028F">
            <w:pPr>
              <w:spacing w:after="0" w:line="240" w:lineRule="auto"/>
              <w:jc w:val="both"/>
              <w:rPr>
                <w:rFonts w:ascii="Times New Roman" w:eastAsia="Times New Roman" w:hAnsi="Times New Roman" w:cs="Times New Roman"/>
                <w:sz w:val="20"/>
                <w:szCs w:val="20"/>
                <w:lang w:eastAsia="lv-LV"/>
              </w:rPr>
            </w:pPr>
            <w:r w:rsidRPr="00E345D6">
              <w:rPr>
                <w:rFonts w:ascii="Times New Roman" w:hAnsi="Times New Roman" w:cs="Times New Roman"/>
                <w:b/>
                <w:sz w:val="20"/>
                <w:szCs w:val="20"/>
              </w:rPr>
              <w:t xml:space="preserve">Iebildums. </w:t>
            </w:r>
            <w:r w:rsidRPr="00E345D6">
              <w:rPr>
                <w:rFonts w:ascii="Times New Roman" w:hAnsi="Times New Roman" w:cs="Times New Roman"/>
                <w:sz w:val="20"/>
                <w:szCs w:val="20"/>
              </w:rPr>
              <w:t>Vēršam uzmanību uz to, ka Administratīvā procesa likuma 59. pantā ir noteikts, kā iestāde iegūst informāciju. Tā, piemēram, Administratīvā procesa likuma 59. panta pirmā un otrā daļa noteic, ka pēc administratīvās lietas ierosināšanas iestāde iegūst informāciju, kas saskaņā ar normatīvajiem aktiem ir nepieciešama, lai pieņemtu attiecīgo lēmumu. Ja iestādei nepieciešamā informācija ir nevis administratīvā procesa dalībnieku, bet gan citas institūcijas rīcībā, iestāde to iegūst pati, nevis pieprasa no administratīvā procesa dalībniekiem. Ievērojot minēto, kā arī to, ka Ministru kabineta 2009.gada 3.februāra noteikumu Nr.108 "Normatīvo aktu projektu sagatavošanas noteikumi" 3.2. apakšpunkts noteic, ka normatīvā akta projektā neietver normas, kas dublē tāda paša spēka normatīvā akta tiesību normās ietverto normatīvo regulējumu, nav skaidrs, kādēļ nepieciešams Likumprojekta 2. pantā paredzētajā Likuma 11.</w:t>
            </w:r>
            <w:r w:rsidRPr="00E345D6">
              <w:rPr>
                <w:rFonts w:ascii="Times New Roman" w:hAnsi="Times New Roman" w:cs="Times New Roman"/>
                <w:sz w:val="20"/>
                <w:szCs w:val="20"/>
                <w:vertAlign w:val="superscript"/>
              </w:rPr>
              <w:t>2</w:t>
            </w:r>
            <w:r w:rsidRPr="00E345D6">
              <w:rPr>
                <w:rFonts w:ascii="Times New Roman" w:hAnsi="Times New Roman" w:cs="Times New Roman"/>
                <w:sz w:val="20"/>
                <w:szCs w:val="20"/>
              </w:rPr>
              <w:t xml:space="preserve"> panta ceturtajā daļā ietvertais regulējums. Ievērojot minēto, lūdzam izvērtēt Likumprojekta 2. pantā paredzētajā Likuma 11.</w:t>
            </w:r>
            <w:r w:rsidRPr="00E345D6">
              <w:rPr>
                <w:rFonts w:ascii="Times New Roman" w:hAnsi="Times New Roman" w:cs="Times New Roman"/>
                <w:sz w:val="20"/>
                <w:szCs w:val="20"/>
                <w:vertAlign w:val="superscript"/>
              </w:rPr>
              <w:t>2</w:t>
            </w:r>
            <w:r w:rsidRPr="00E345D6">
              <w:rPr>
                <w:rFonts w:ascii="Times New Roman" w:hAnsi="Times New Roman" w:cs="Times New Roman"/>
                <w:sz w:val="20"/>
                <w:szCs w:val="20"/>
              </w:rPr>
              <w:t xml:space="preserve"> panta ceturtajā daļā ietverto regulējumu un precizēt to, kā arī papildināt Anotāciju ar atbilstošu skaidrojumu.</w:t>
            </w:r>
          </w:p>
        </w:tc>
        <w:tc>
          <w:tcPr>
            <w:tcW w:w="848" w:type="pct"/>
            <w:gridSpan w:val="2"/>
            <w:tcBorders>
              <w:top w:val="single" w:sz="6" w:space="0" w:color="000000"/>
              <w:left w:val="single" w:sz="6" w:space="0" w:color="000000"/>
              <w:bottom w:val="single" w:sz="6" w:space="0" w:color="000000"/>
              <w:right w:val="single" w:sz="6" w:space="0" w:color="000000"/>
            </w:tcBorders>
          </w:tcPr>
          <w:p w14:paraId="5A1A3424" w14:textId="77777777" w:rsidR="0094028F" w:rsidRPr="00F60155" w:rsidRDefault="0094028F" w:rsidP="0094028F">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Iebildums ņemts vērā. Sniedzam skaidrojumu. </w:t>
            </w:r>
            <w:r w:rsidRPr="00F60155">
              <w:rPr>
                <w:rStyle w:val="cf01"/>
                <w:rFonts w:ascii="Times New Roman" w:hAnsi="Times New Roman" w:cs="Times New Roman"/>
                <w:sz w:val="20"/>
                <w:szCs w:val="20"/>
              </w:rPr>
              <w:t>Normas mērķis ir paredzēt nevis to, kā tiek pieprasīta informācija, bet, ievērojot lietderības principu, izslēgt pienākumu subjektam sniegt un Komisijai pieprasīt tādu informāciju, kas jau ir Komisijas rīcībā (Direktīvas</w:t>
            </w:r>
            <w:r>
              <w:rPr>
                <w:rStyle w:val="cf01"/>
                <w:rFonts w:ascii="Times New Roman" w:hAnsi="Times New Roman" w:cs="Times New Roman"/>
                <w:sz w:val="20"/>
                <w:szCs w:val="20"/>
              </w:rPr>
              <w:t xml:space="preserve"> Nr. 2019/2034 </w:t>
            </w:r>
            <w:r w:rsidRPr="00F60155">
              <w:rPr>
                <w:rStyle w:val="cf01"/>
                <w:rFonts w:ascii="Times New Roman" w:hAnsi="Times New Roman" w:cs="Times New Roman"/>
                <w:sz w:val="20"/>
                <w:szCs w:val="20"/>
              </w:rPr>
              <w:t>62</w:t>
            </w:r>
            <w:r>
              <w:rPr>
                <w:rStyle w:val="cf01"/>
                <w:rFonts w:ascii="Times New Roman" w:hAnsi="Times New Roman" w:cs="Times New Roman"/>
                <w:sz w:val="20"/>
                <w:szCs w:val="20"/>
              </w:rPr>
              <w:t>.</w:t>
            </w:r>
            <w:r w:rsidRPr="00F60155">
              <w:rPr>
                <w:rStyle w:val="cf01"/>
                <w:rFonts w:ascii="Times New Roman" w:hAnsi="Times New Roman" w:cs="Times New Roman"/>
                <w:sz w:val="20"/>
                <w:szCs w:val="20"/>
              </w:rPr>
              <w:t>panta</w:t>
            </w:r>
            <w:r>
              <w:rPr>
                <w:rStyle w:val="cf01"/>
                <w:rFonts w:ascii="Times New Roman" w:hAnsi="Times New Roman" w:cs="Times New Roman"/>
                <w:sz w:val="20"/>
                <w:szCs w:val="20"/>
              </w:rPr>
              <w:t xml:space="preserve"> 6.punkta 5.apakšpunkta prasība</w:t>
            </w:r>
            <w:r w:rsidRPr="00F60155">
              <w:rPr>
                <w:rStyle w:val="cf01"/>
                <w:rFonts w:ascii="Times New Roman" w:hAnsi="Times New Roman" w:cs="Times New Roman"/>
                <w:sz w:val="20"/>
                <w:szCs w:val="20"/>
              </w:rPr>
              <w:t xml:space="preserve">) un līdzīga norma, piemēram, iestrādāta </w:t>
            </w:r>
            <w:r>
              <w:rPr>
                <w:rStyle w:val="cf01"/>
                <w:rFonts w:ascii="Times New Roman" w:hAnsi="Times New Roman" w:cs="Times New Roman"/>
                <w:sz w:val="20"/>
                <w:szCs w:val="20"/>
              </w:rPr>
              <w:t>Finanšu un kapitāla tirgus komisijas</w:t>
            </w:r>
            <w:r w:rsidRPr="00F60155">
              <w:rPr>
                <w:rStyle w:val="cf01"/>
                <w:rFonts w:ascii="Times New Roman" w:hAnsi="Times New Roman" w:cs="Times New Roman"/>
                <w:sz w:val="20"/>
                <w:szCs w:val="20"/>
              </w:rPr>
              <w:t xml:space="preserve"> Normatīv</w:t>
            </w:r>
            <w:r>
              <w:rPr>
                <w:rStyle w:val="cf01"/>
                <w:rFonts w:ascii="Times New Roman" w:hAnsi="Times New Roman" w:cs="Times New Roman"/>
                <w:sz w:val="20"/>
                <w:szCs w:val="20"/>
              </w:rPr>
              <w:t>ajos</w:t>
            </w:r>
            <w:r w:rsidRPr="00F60155">
              <w:rPr>
                <w:rStyle w:val="cf01"/>
                <w:rFonts w:ascii="Times New Roman" w:hAnsi="Times New Roman" w:cs="Times New Roman"/>
                <w:sz w:val="20"/>
                <w:szCs w:val="20"/>
              </w:rPr>
              <w:t xml:space="preserve"> noteikum</w:t>
            </w:r>
            <w:r>
              <w:rPr>
                <w:rStyle w:val="cf01"/>
                <w:rFonts w:ascii="Times New Roman" w:hAnsi="Times New Roman" w:cs="Times New Roman"/>
                <w:sz w:val="20"/>
                <w:szCs w:val="20"/>
              </w:rPr>
              <w:t>os</w:t>
            </w:r>
            <w:r w:rsidRPr="00F60155">
              <w:rPr>
                <w:rStyle w:val="cf01"/>
                <w:rFonts w:ascii="Times New Roman" w:hAnsi="Times New Roman" w:cs="Times New Roman"/>
                <w:sz w:val="20"/>
                <w:szCs w:val="20"/>
              </w:rPr>
              <w:t xml:space="preserve"> Nr. 200 </w:t>
            </w:r>
            <w:r>
              <w:rPr>
                <w:rStyle w:val="cf01"/>
                <w:rFonts w:ascii="Times New Roman" w:hAnsi="Times New Roman" w:cs="Times New Roman"/>
                <w:sz w:val="20"/>
                <w:szCs w:val="20"/>
              </w:rPr>
              <w:t>“</w:t>
            </w:r>
            <w:r w:rsidRPr="00F60155">
              <w:rPr>
                <w:rStyle w:val="cf01"/>
                <w:rFonts w:ascii="Times New Roman" w:hAnsi="Times New Roman" w:cs="Times New Roman"/>
                <w:sz w:val="20"/>
                <w:szCs w:val="20"/>
              </w:rPr>
              <w:t>Kārtība, kādā iesniedzama informācija un dokumenti kredītiestādes licences, atsevišķu kredītiestādes darbību reglamentējošo atļauju un dokumentu saskaņojuma saņemšanai un informācijas sniegšanai</w:t>
            </w:r>
            <w:r>
              <w:rPr>
                <w:rStyle w:val="cf01"/>
                <w:rFonts w:ascii="Times New Roman" w:hAnsi="Times New Roman" w:cs="Times New Roman"/>
                <w:sz w:val="20"/>
                <w:szCs w:val="20"/>
              </w:rPr>
              <w:t>”.</w:t>
            </w:r>
          </w:p>
          <w:p w14:paraId="176186C4" w14:textId="77777777"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39816B8E" w14:textId="77777777" w:rsidR="0094028F" w:rsidRDefault="0094028F" w:rsidP="0094028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Likumprojekta 2.panta, Kredītiestāžu likuma 11.2 panta trešā daļa:</w:t>
            </w:r>
          </w:p>
          <w:p w14:paraId="137BCD7F" w14:textId="3507FCD4"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 xml:space="preserve">“(3) </w:t>
            </w:r>
            <w:bookmarkStart w:id="10" w:name="_Hlk69213787"/>
            <w:r w:rsidRPr="0047706C">
              <w:rPr>
                <w:rFonts w:ascii="Times New Roman" w:eastAsia="Times New Roman" w:hAnsi="Times New Roman" w:cs="Times New Roman"/>
                <w:sz w:val="20"/>
                <w:szCs w:val="20"/>
                <w:u w:val="single"/>
                <w:lang w:eastAsia="lv-LV"/>
              </w:rPr>
              <w:t>Ja šā panta pirmajā daļā minētajā gadījumā jāiesniedz dokumenti, kuri jau ir Komisijas rīcībā un kuros ietvertajā informācijā nav notikušas izmaiņas, tad attiecīgos dokumentus neiesniedz atkārtoti un iesniegumā Komisijai norāda, kad attiecīgie dokumenti ir iesniegti Komisijai un ka tajos ietvertajā informācijā no iesniegšanas brīža Komisijai nav notikušas izmaiņas</w:t>
            </w:r>
            <w:bookmarkEnd w:id="10"/>
            <w:r w:rsidRPr="00F60155">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w:t>
            </w:r>
          </w:p>
        </w:tc>
      </w:tr>
      <w:tr w:rsidR="0094028F" w:rsidRPr="00184920" w14:paraId="29AC0EA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7C080F66" w14:textId="6F1AEB77" w:rsidR="0094028F" w:rsidRPr="00184920" w:rsidRDefault="0094028F" w:rsidP="0094028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5.</w:t>
            </w:r>
          </w:p>
        </w:tc>
        <w:tc>
          <w:tcPr>
            <w:tcW w:w="692" w:type="pct"/>
            <w:tcBorders>
              <w:top w:val="single" w:sz="6" w:space="0" w:color="000000"/>
              <w:left w:val="single" w:sz="6" w:space="0" w:color="000000"/>
              <w:bottom w:val="single" w:sz="6" w:space="0" w:color="000000"/>
              <w:right w:val="single" w:sz="6" w:space="0" w:color="000000"/>
            </w:tcBorders>
          </w:tcPr>
          <w:p w14:paraId="5C43AB2C" w14:textId="0DC1C6A3" w:rsidR="0094028F" w:rsidRPr="00E345D6" w:rsidRDefault="0094028F" w:rsidP="0094028F">
            <w:pPr>
              <w:pStyle w:val="ListParagraph"/>
              <w:shd w:val="clear" w:color="auto" w:fill="FFFFFF"/>
              <w:spacing w:line="240" w:lineRule="auto"/>
              <w:ind w:left="0"/>
              <w:jc w:val="both"/>
              <w:rPr>
                <w:rFonts w:ascii="Times New Roman" w:hAnsi="Times New Roman"/>
                <w:noProof/>
                <w:sz w:val="20"/>
                <w:szCs w:val="20"/>
                <w:lang w:eastAsia="lv-LV"/>
              </w:rPr>
            </w:pPr>
            <w:r w:rsidRPr="00B66BA0">
              <w:rPr>
                <w:rFonts w:ascii="Times New Roman" w:hAnsi="Times New Roman"/>
                <w:noProof/>
                <w:sz w:val="20"/>
                <w:szCs w:val="20"/>
                <w:lang w:eastAsia="lv-LV"/>
              </w:rPr>
              <w:t xml:space="preserve">(5) Ieguldījumu brokeru sabiedrība, kura iesniedz Finanšu un kapitāla tirgus komisijai iesniegumu kredītiestādes licences (atļaujas) saņemšanai, ir </w:t>
            </w:r>
            <w:r w:rsidRPr="00B66BA0">
              <w:rPr>
                <w:rFonts w:ascii="Times New Roman" w:hAnsi="Times New Roman"/>
                <w:noProof/>
                <w:sz w:val="20"/>
                <w:szCs w:val="20"/>
                <w:lang w:eastAsia="lv-LV"/>
              </w:rPr>
              <w:lastRenderedPageBreak/>
              <w:t>tiesīga sniegt šā panta pirmajā daļā minētos ieguldījumu pakalpojumus līdz tā saņem kredītiestādes licenci (atļauju).</w:t>
            </w:r>
          </w:p>
        </w:tc>
        <w:tc>
          <w:tcPr>
            <w:tcW w:w="1309" w:type="pct"/>
            <w:tcBorders>
              <w:top w:val="single" w:sz="6" w:space="0" w:color="000000"/>
              <w:left w:val="single" w:sz="6" w:space="0" w:color="000000"/>
              <w:bottom w:val="single" w:sz="6" w:space="0" w:color="000000"/>
              <w:right w:val="single" w:sz="6" w:space="0" w:color="000000"/>
            </w:tcBorders>
          </w:tcPr>
          <w:p w14:paraId="2B0A9F36" w14:textId="09F68AEC" w:rsidR="0094028F" w:rsidRPr="00E345D6" w:rsidRDefault="0094028F" w:rsidP="0094028F">
            <w:pPr>
              <w:spacing w:after="0" w:line="240" w:lineRule="auto"/>
              <w:jc w:val="both"/>
              <w:rPr>
                <w:rFonts w:ascii="Times New Roman" w:eastAsia="Times New Roman" w:hAnsi="Times New Roman" w:cs="Times New Roman"/>
                <w:sz w:val="20"/>
                <w:szCs w:val="20"/>
                <w:lang w:eastAsia="lv-LV"/>
              </w:rPr>
            </w:pPr>
            <w:r w:rsidRPr="00E345D6">
              <w:rPr>
                <w:rFonts w:ascii="Times New Roman" w:hAnsi="Times New Roman" w:cs="Times New Roman"/>
                <w:b/>
                <w:sz w:val="20"/>
                <w:szCs w:val="20"/>
              </w:rPr>
              <w:lastRenderedPageBreak/>
              <w:t xml:space="preserve">Iebildums. </w:t>
            </w:r>
            <w:r w:rsidRPr="00E345D6">
              <w:rPr>
                <w:rFonts w:ascii="Times New Roman" w:hAnsi="Times New Roman" w:cs="Times New Roman"/>
                <w:sz w:val="20"/>
                <w:szCs w:val="20"/>
              </w:rPr>
              <w:t>Vēršam uzmanību uz to, ka nav skaidrs, kādēļ Likumprojekta 2. pantā paredzētajā Likuma 11.</w:t>
            </w:r>
            <w:r w:rsidRPr="00E345D6">
              <w:rPr>
                <w:rFonts w:ascii="Times New Roman" w:hAnsi="Times New Roman" w:cs="Times New Roman"/>
                <w:sz w:val="20"/>
                <w:szCs w:val="20"/>
                <w:vertAlign w:val="superscript"/>
              </w:rPr>
              <w:t>2</w:t>
            </w:r>
            <w:r w:rsidRPr="00E345D6">
              <w:rPr>
                <w:rFonts w:ascii="Times New Roman" w:hAnsi="Times New Roman" w:cs="Times New Roman"/>
                <w:sz w:val="20"/>
                <w:szCs w:val="20"/>
              </w:rPr>
              <w:t xml:space="preserve"> panta piektajā daļā ir noteikts, ka ieguldījumu brokeru sabiedrība, kura iesniedz Komisijai iesniegumu kredītiestādes licences (atļaujas) saņemšanai, ir tiesīga sniegt šā panta pirmajā daļā minētos ieguldījumu </w:t>
            </w:r>
            <w:r w:rsidRPr="00E345D6">
              <w:rPr>
                <w:rFonts w:ascii="Times New Roman" w:hAnsi="Times New Roman" w:cs="Times New Roman"/>
                <w:sz w:val="20"/>
                <w:szCs w:val="20"/>
              </w:rPr>
              <w:lastRenderedPageBreak/>
              <w:t>pakalpojumus bez kredītiestādes licences (atļaujas) līdz brīdim, kad tā saņem kredītiestādes licenci (atļauju). Ievērojot minēto, lūdzam izvērtēt Likumprojekta 2. pantā paredzētajā Likuma 11.</w:t>
            </w:r>
            <w:r w:rsidRPr="00E345D6">
              <w:rPr>
                <w:rFonts w:ascii="Times New Roman" w:hAnsi="Times New Roman" w:cs="Times New Roman"/>
                <w:sz w:val="20"/>
                <w:szCs w:val="20"/>
                <w:vertAlign w:val="superscript"/>
              </w:rPr>
              <w:t>2</w:t>
            </w:r>
            <w:r w:rsidRPr="00E345D6">
              <w:rPr>
                <w:rFonts w:ascii="Times New Roman" w:hAnsi="Times New Roman" w:cs="Times New Roman"/>
                <w:sz w:val="20"/>
                <w:szCs w:val="20"/>
              </w:rPr>
              <w:t xml:space="preserve"> panta piektajā daļā ietverto regulējumu un precizēt to vai papildināt Anotāciju ar atbilstošu skaidrojumu.</w:t>
            </w:r>
          </w:p>
        </w:tc>
        <w:tc>
          <w:tcPr>
            <w:tcW w:w="848" w:type="pct"/>
            <w:gridSpan w:val="2"/>
            <w:tcBorders>
              <w:top w:val="single" w:sz="6" w:space="0" w:color="000000"/>
              <w:left w:val="single" w:sz="6" w:space="0" w:color="000000"/>
              <w:bottom w:val="single" w:sz="6" w:space="0" w:color="000000"/>
              <w:right w:val="single" w:sz="6" w:space="0" w:color="000000"/>
            </w:tcBorders>
          </w:tcPr>
          <w:p w14:paraId="518AA77E" w14:textId="082A57F2"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lastRenderedPageBreak/>
              <w:t xml:space="preserve">Iebildums ņemts vērā. Sniedzam skaidrojumu. </w:t>
            </w:r>
            <w:r w:rsidRPr="00EC7E93">
              <w:rPr>
                <w:rFonts w:ascii="Times New Roman" w:eastAsia="Times New Roman" w:hAnsi="Times New Roman" w:cs="Times New Roman"/>
                <w:sz w:val="20"/>
                <w:szCs w:val="20"/>
                <w:lang w:eastAsia="lv-LV"/>
              </w:rPr>
              <w:t xml:space="preserve">Minētajā normā tiek pārņemtas Direktīvas Nr. 2019/2034 62.panta 6.punkta 2.apakšpunkta prasības, kuras mērķis ir norādīt, ka pieteikums kredītiestādes licencei </w:t>
            </w:r>
            <w:r w:rsidRPr="00EC7E93">
              <w:rPr>
                <w:rFonts w:ascii="Times New Roman" w:eastAsia="Times New Roman" w:hAnsi="Times New Roman" w:cs="Times New Roman"/>
                <w:sz w:val="20"/>
                <w:szCs w:val="20"/>
                <w:lang w:eastAsia="lv-LV"/>
              </w:rPr>
              <w:lastRenderedPageBreak/>
              <w:t>neierobežo ieguldījumu brokeru sabiedrībām turpināt sniegt pakalpojumus saskaņā ar tai izsniegto licenci ieguldījumu brokeru sabiedrību darbībai. Savukārt, kad ieguldījumu brokeru sabiedrība saņems kredītiestāde licenci, tad šī licence ietvers arī tos pakalpojumus, ko līdz šim paredzēja ieguldījumu brokeru sabiedrības licence.</w:t>
            </w:r>
          </w:p>
        </w:tc>
        <w:tc>
          <w:tcPr>
            <w:tcW w:w="936" w:type="pct"/>
            <w:tcBorders>
              <w:top w:val="single" w:sz="4" w:space="0" w:color="auto"/>
              <w:left w:val="single" w:sz="4" w:space="0" w:color="auto"/>
              <w:bottom w:val="single" w:sz="4" w:space="0" w:color="auto"/>
              <w:right w:val="single" w:sz="4" w:space="0" w:color="auto"/>
            </w:tcBorders>
          </w:tcPr>
          <w:p w14:paraId="31E45DA8" w14:textId="77777777" w:rsidR="0094028F" w:rsidRDefault="0094028F" w:rsidP="0094028F">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Likumprojekta 2.panta, Kredītiestāžu likuma 11.</w:t>
            </w:r>
            <w:r w:rsidRPr="00EC7E93">
              <w:rPr>
                <w:rFonts w:ascii="Times New Roman" w:hAnsi="Times New Roman" w:cs="Times New Roman"/>
                <w:sz w:val="20"/>
                <w:szCs w:val="20"/>
                <w:vertAlign w:val="superscript"/>
              </w:rPr>
              <w:t>2</w:t>
            </w:r>
            <w:r>
              <w:rPr>
                <w:rFonts w:ascii="Times New Roman" w:hAnsi="Times New Roman" w:cs="Times New Roman"/>
                <w:sz w:val="20"/>
                <w:szCs w:val="20"/>
              </w:rPr>
              <w:t xml:space="preserve"> panta ceturtā daļa:</w:t>
            </w:r>
          </w:p>
          <w:p w14:paraId="4F48748C" w14:textId="20E9C190"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 xml:space="preserve">“(4) </w:t>
            </w:r>
            <w:r w:rsidRPr="00EC7E93">
              <w:rPr>
                <w:rFonts w:ascii="Times New Roman" w:eastAsia="Times New Roman" w:hAnsi="Times New Roman" w:cs="Times New Roman"/>
                <w:sz w:val="20"/>
                <w:szCs w:val="20"/>
                <w:u w:val="single"/>
                <w:lang w:eastAsia="lv-LV"/>
              </w:rPr>
              <w:t xml:space="preserve">Šā panta pirmajā daļā minētajā gadījumā ieguldījumu brokeru sabiedrības turpina sniegt šā panta pirmajā daļā minētos ieguldījumu </w:t>
            </w:r>
            <w:r w:rsidRPr="00EC7E93">
              <w:rPr>
                <w:rFonts w:ascii="Times New Roman" w:eastAsia="Times New Roman" w:hAnsi="Times New Roman" w:cs="Times New Roman"/>
                <w:sz w:val="20"/>
                <w:szCs w:val="20"/>
                <w:u w:val="single"/>
                <w:lang w:eastAsia="lv-LV"/>
              </w:rPr>
              <w:lastRenderedPageBreak/>
              <w:t>pakalpojumus  līdz brīdim, kad tā saņem kredītiestādes licenci (atļauju).</w:t>
            </w:r>
            <w:r>
              <w:rPr>
                <w:rFonts w:ascii="Times New Roman" w:eastAsia="Times New Roman" w:hAnsi="Times New Roman" w:cs="Times New Roman"/>
                <w:sz w:val="20"/>
                <w:szCs w:val="20"/>
                <w:lang w:eastAsia="lv-LV"/>
              </w:rPr>
              <w:t>”.</w:t>
            </w:r>
          </w:p>
        </w:tc>
      </w:tr>
      <w:tr w:rsidR="0094028F" w:rsidRPr="00184920" w14:paraId="2F6EAEFC"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8BAF6CE" w14:textId="787C647C" w:rsidR="0094028F" w:rsidRPr="00184920" w:rsidRDefault="0094028F" w:rsidP="0094028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6.</w:t>
            </w:r>
          </w:p>
        </w:tc>
        <w:tc>
          <w:tcPr>
            <w:tcW w:w="692" w:type="pct"/>
            <w:tcBorders>
              <w:top w:val="single" w:sz="6" w:space="0" w:color="000000"/>
              <w:left w:val="single" w:sz="6" w:space="0" w:color="000000"/>
              <w:bottom w:val="single" w:sz="6" w:space="0" w:color="000000"/>
              <w:right w:val="single" w:sz="6" w:space="0" w:color="000000"/>
            </w:tcBorders>
          </w:tcPr>
          <w:p w14:paraId="1E8052AA" w14:textId="77777777" w:rsidR="0094028F" w:rsidRPr="00490E0E" w:rsidRDefault="0094028F" w:rsidP="0094028F">
            <w:pPr>
              <w:pStyle w:val="ListParagraph"/>
              <w:shd w:val="clear" w:color="auto" w:fill="FFFFFF"/>
              <w:spacing w:line="240" w:lineRule="auto"/>
              <w:ind w:left="0"/>
              <w:contextualSpacing w:val="0"/>
              <w:jc w:val="both"/>
              <w:rPr>
                <w:rFonts w:ascii="Times New Roman" w:hAnsi="Times New Roman" w:cs="Times New Roman"/>
                <w:sz w:val="20"/>
                <w:szCs w:val="20"/>
              </w:rPr>
            </w:pPr>
            <w:r w:rsidRPr="00490E0E">
              <w:rPr>
                <w:rFonts w:ascii="Times New Roman" w:hAnsi="Times New Roman" w:cs="Times New Roman"/>
                <w:sz w:val="20"/>
                <w:szCs w:val="20"/>
              </w:rPr>
              <w:t>Papildināt 27.pantu ar 1.</w:t>
            </w:r>
            <w:r w:rsidRPr="00490E0E">
              <w:rPr>
                <w:rFonts w:ascii="Times New Roman" w:hAnsi="Times New Roman" w:cs="Times New Roman"/>
                <w:sz w:val="20"/>
                <w:szCs w:val="20"/>
                <w:vertAlign w:val="superscript"/>
              </w:rPr>
              <w:t>1</w:t>
            </w:r>
            <w:r w:rsidRPr="00490E0E">
              <w:rPr>
                <w:rFonts w:ascii="Times New Roman" w:hAnsi="Times New Roman" w:cs="Times New Roman"/>
                <w:sz w:val="20"/>
                <w:szCs w:val="20"/>
              </w:rPr>
              <w:t xml:space="preserve"> daļu šādā redakcijā:</w:t>
            </w:r>
          </w:p>
          <w:p w14:paraId="479B2A62" w14:textId="3BF012BC" w:rsidR="0094028F" w:rsidRPr="00184920" w:rsidRDefault="0094028F" w:rsidP="0094028F">
            <w:pPr>
              <w:spacing w:after="0" w:line="240" w:lineRule="auto"/>
              <w:jc w:val="both"/>
              <w:rPr>
                <w:rFonts w:ascii="Times New Roman" w:eastAsia="Times New Roman" w:hAnsi="Times New Roman" w:cs="Times New Roman"/>
                <w:sz w:val="20"/>
                <w:lang w:eastAsia="lv-LV"/>
              </w:rPr>
            </w:pPr>
            <w:r w:rsidRPr="00490E0E">
              <w:rPr>
                <w:rFonts w:ascii="Times New Roman" w:hAnsi="Times New Roman" w:cs="Times New Roman"/>
                <w:noProof/>
                <w:sz w:val="20"/>
                <w:szCs w:val="20"/>
              </w:rPr>
              <w:t>“(1</w:t>
            </w:r>
            <w:r w:rsidRPr="00490E0E">
              <w:rPr>
                <w:rFonts w:ascii="Times New Roman" w:hAnsi="Times New Roman" w:cs="Times New Roman"/>
                <w:noProof/>
                <w:sz w:val="20"/>
                <w:szCs w:val="20"/>
                <w:vertAlign w:val="superscript"/>
              </w:rPr>
              <w:t>1</w:t>
            </w:r>
            <w:r w:rsidRPr="00490E0E">
              <w:rPr>
                <w:rFonts w:ascii="Times New Roman" w:hAnsi="Times New Roman" w:cs="Times New Roman"/>
                <w:noProof/>
                <w:sz w:val="20"/>
                <w:szCs w:val="20"/>
              </w:rPr>
              <w:t>) Finanšu un kapitāla tirgus komisija ir tiesīga anulēt kredītiestādes licenci (atļauju), kas izsniegta saskaņā ar šā likuma 11.</w:t>
            </w:r>
            <w:r w:rsidRPr="00490E0E">
              <w:rPr>
                <w:rFonts w:ascii="Times New Roman" w:hAnsi="Times New Roman" w:cs="Times New Roman"/>
                <w:noProof/>
                <w:sz w:val="20"/>
                <w:szCs w:val="20"/>
                <w:vertAlign w:val="superscript"/>
              </w:rPr>
              <w:t>2</w:t>
            </w:r>
            <w:r w:rsidRPr="00490E0E">
              <w:rPr>
                <w:rFonts w:ascii="Times New Roman" w:hAnsi="Times New Roman" w:cs="Times New Roman"/>
                <w:noProof/>
                <w:sz w:val="20"/>
                <w:szCs w:val="20"/>
              </w:rPr>
              <w:t xml:space="preserve"> pantā noteikto, ja ieguldījumu brokeru sabiedrība sniedz tikai Finanšu instrumentu tirgus likuma 3. panta ceturtās daļas 3. vai 6 punktā minētos pakalpojumus, un šā likuma 11.</w:t>
            </w:r>
            <w:r w:rsidRPr="00490E0E">
              <w:rPr>
                <w:rFonts w:ascii="Times New Roman" w:hAnsi="Times New Roman" w:cs="Times New Roman"/>
                <w:noProof/>
                <w:sz w:val="20"/>
                <w:szCs w:val="20"/>
                <w:vertAlign w:val="superscript"/>
              </w:rPr>
              <w:t>2</w:t>
            </w:r>
            <w:r w:rsidRPr="00490E0E">
              <w:rPr>
                <w:rFonts w:ascii="Times New Roman" w:hAnsi="Times New Roman" w:cs="Times New Roman"/>
                <w:noProof/>
                <w:sz w:val="20"/>
                <w:szCs w:val="20"/>
              </w:rPr>
              <w:t xml:space="preserve"> panta pirmajā daļā noteiktais nav iestājies piecus gadus pēc kārtas.”.</w:t>
            </w:r>
          </w:p>
        </w:tc>
        <w:tc>
          <w:tcPr>
            <w:tcW w:w="1309" w:type="pct"/>
            <w:tcBorders>
              <w:top w:val="single" w:sz="6" w:space="0" w:color="000000"/>
              <w:left w:val="single" w:sz="6" w:space="0" w:color="000000"/>
              <w:bottom w:val="single" w:sz="6" w:space="0" w:color="000000"/>
              <w:right w:val="single" w:sz="6" w:space="0" w:color="000000"/>
            </w:tcBorders>
          </w:tcPr>
          <w:p w14:paraId="26B5BA82" w14:textId="41CB0B1B" w:rsidR="0094028F" w:rsidRPr="000F0474" w:rsidRDefault="0094028F" w:rsidP="0094028F">
            <w:pPr>
              <w:spacing w:after="0" w:line="240" w:lineRule="auto"/>
              <w:jc w:val="both"/>
              <w:rPr>
                <w:rFonts w:ascii="Times New Roman" w:eastAsia="Times New Roman" w:hAnsi="Times New Roman" w:cs="Times New Roman"/>
                <w:sz w:val="20"/>
                <w:szCs w:val="20"/>
                <w:lang w:eastAsia="lv-LV"/>
              </w:rPr>
            </w:pPr>
            <w:r w:rsidRPr="000F0474">
              <w:rPr>
                <w:rFonts w:ascii="Times New Roman" w:hAnsi="Times New Roman" w:cs="Times New Roman"/>
                <w:b/>
                <w:sz w:val="20"/>
                <w:szCs w:val="20"/>
              </w:rPr>
              <w:t xml:space="preserve">Iebildums. </w:t>
            </w:r>
            <w:r w:rsidRPr="000F0474">
              <w:rPr>
                <w:rFonts w:ascii="Times New Roman" w:hAnsi="Times New Roman" w:cs="Times New Roman"/>
                <w:sz w:val="20"/>
                <w:szCs w:val="20"/>
              </w:rPr>
              <w:t>Ievērojot, ka nav skaidrs, kādēļ Likumprojekta 4. pantā paredzētajā Likuma 27. panta 1.</w:t>
            </w:r>
            <w:r w:rsidRPr="000F0474">
              <w:rPr>
                <w:rFonts w:ascii="Times New Roman" w:hAnsi="Times New Roman" w:cs="Times New Roman"/>
                <w:sz w:val="20"/>
                <w:szCs w:val="20"/>
                <w:vertAlign w:val="superscript"/>
              </w:rPr>
              <w:t>1</w:t>
            </w:r>
            <w:r w:rsidRPr="000F0474">
              <w:rPr>
                <w:rFonts w:ascii="Times New Roman" w:hAnsi="Times New Roman" w:cs="Times New Roman"/>
                <w:sz w:val="20"/>
                <w:szCs w:val="20"/>
              </w:rPr>
              <w:t xml:space="preserve"> daļā tiek noteikts piecu gadu termiņš, lūdzam izvērtēt Likumprojekta 4. pantā paredzētajā Likuma 27. panta 1.</w:t>
            </w:r>
            <w:r w:rsidRPr="000F0474">
              <w:rPr>
                <w:rFonts w:ascii="Times New Roman" w:hAnsi="Times New Roman" w:cs="Times New Roman"/>
                <w:sz w:val="20"/>
                <w:szCs w:val="20"/>
                <w:vertAlign w:val="superscript"/>
              </w:rPr>
              <w:t>1</w:t>
            </w:r>
            <w:r w:rsidRPr="000F0474">
              <w:rPr>
                <w:rFonts w:ascii="Times New Roman" w:hAnsi="Times New Roman" w:cs="Times New Roman"/>
                <w:sz w:val="20"/>
                <w:szCs w:val="20"/>
              </w:rPr>
              <w:t xml:space="preserve"> daļā ietverto regulējumu  un precizēt to vai papildināt Anotāciju ar atbilstošu skaidrojumu.</w:t>
            </w:r>
          </w:p>
        </w:tc>
        <w:tc>
          <w:tcPr>
            <w:tcW w:w="848" w:type="pct"/>
            <w:gridSpan w:val="2"/>
            <w:tcBorders>
              <w:top w:val="single" w:sz="6" w:space="0" w:color="000000"/>
              <w:left w:val="single" w:sz="6" w:space="0" w:color="000000"/>
              <w:bottom w:val="single" w:sz="6" w:space="0" w:color="000000"/>
              <w:right w:val="single" w:sz="6" w:space="0" w:color="000000"/>
            </w:tcBorders>
          </w:tcPr>
          <w:p w14:paraId="24C0DCF4" w14:textId="243D0C8E" w:rsidR="0094028F" w:rsidRPr="00184920" w:rsidRDefault="0094028F" w:rsidP="0094028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Sniedzam skaidrojumu. </w:t>
            </w:r>
            <w:r w:rsidRPr="00220334">
              <w:rPr>
                <w:rFonts w:ascii="Times New Roman" w:hAnsi="Times New Roman" w:cs="Times New Roman"/>
                <w:sz w:val="20"/>
                <w:szCs w:val="20"/>
              </w:rPr>
              <w:t xml:space="preserve">Vēršam uzmanību, </w:t>
            </w:r>
            <w:r>
              <w:rPr>
                <w:rFonts w:ascii="Times New Roman" w:hAnsi="Times New Roman" w:cs="Times New Roman"/>
                <w:sz w:val="20"/>
                <w:szCs w:val="20"/>
              </w:rPr>
              <w:t xml:space="preserve">ka </w:t>
            </w:r>
            <w:r w:rsidRPr="00220334">
              <w:rPr>
                <w:rFonts w:ascii="Times New Roman" w:hAnsi="Times New Roman" w:cs="Times New Roman"/>
                <w:sz w:val="20"/>
                <w:szCs w:val="20"/>
              </w:rPr>
              <w:t>likumprojekta 4.pants, Kredītiestāžu likuma 27.panta 1.</w:t>
            </w:r>
            <w:r w:rsidRPr="00F82C48">
              <w:rPr>
                <w:rFonts w:ascii="Times New Roman" w:hAnsi="Times New Roman" w:cs="Times New Roman"/>
                <w:sz w:val="20"/>
                <w:szCs w:val="20"/>
                <w:vertAlign w:val="superscript"/>
              </w:rPr>
              <w:t>1</w:t>
            </w:r>
            <w:r w:rsidRPr="00220334">
              <w:rPr>
                <w:rFonts w:ascii="Times New Roman" w:hAnsi="Times New Roman" w:cs="Times New Roman"/>
                <w:sz w:val="20"/>
                <w:szCs w:val="20"/>
              </w:rPr>
              <w:t xml:space="preserve"> daļa pārņemt Direktīvas Nr. 2019/2034 62.panta 7.punktu, proti, minētā direktīvas norma paredz šo piecu gadu termiņu. Papildus norādām, ka anotācijā ir norādīta papildu informācija attiecībā uz likumprojekta 4.pantu</w:t>
            </w:r>
            <w:r>
              <w:rPr>
                <w:rFonts w:ascii="Times New Roman" w:hAnsi="Times New Roman" w:cs="Times New Roman"/>
                <w:sz w:val="20"/>
                <w:szCs w:val="20"/>
              </w:rPr>
              <w:t>. Papildus papildināta anotācijas</w:t>
            </w:r>
            <w:r w:rsidRPr="00220334">
              <w:rPr>
                <w:rFonts w:ascii="Times New Roman" w:hAnsi="Times New Roman" w:cs="Times New Roman"/>
                <w:sz w:val="20"/>
                <w:szCs w:val="20"/>
              </w:rPr>
              <w:t xml:space="preserve"> V sadaļas 1.tabula </w:t>
            </w:r>
            <w:r>
              <w:rPr>
                <w:rFonts w:ascii="Times New Roman" w:hAnsi="Times New Roman" w:cs="Times New Roman"/>
                <w:sz w:val="20"/>
                <w:szCs w:val="20"/>
              </w:rPr>
              <w:t>par Direktīvas Nr. 2019/2034 62.panta 7.punkta pārņemšanu.</w:t>
            </w:r>
          </w:p>
        </w:tc>
        <w:tc>
          <w:tcPr>
            <w:tcW w:w="936" w:type="pct"/>
            <w:tcBorders>
              <w:top w:val="single" w:sz="4" w:space="0" w:color="auto"/>
              <w:left w:val="single" w:sz="4" w:space="0" w:color="auto"/>
              <w:bottom w:val="single" w:sz="4" w:space="0" w:color="auto"/>
              <w:right w:val="single" w:sz="4" w:space="0" w:color="auto"/>
            </w:tcBorders>
          </w:tcPr>
          <w:p w14:paraId="15E93A4F" w14:textId="77777777" w:rsidR="0094028F" w:rsidRPr="00184920" w:rsidRDefault="0094028F" w:rsidP="0094028F">
            <w:pPr>
              <w:spacing w:after="0" w:line="240" w:lineRule="auto"/>
              <w:jc w:val="center"/>
              <w:rPr>
                <w:rFonts w:ascii="Times New Roman" w:eastAsia="Times New Roman" w:hAnsi="Times New Roman" w:cs="Times New Roman"/>
                <w:sz w:val="20"/>
                <w:szCs w:val="20"/>
                <w:lang w:eastAsia="lv-LV"/>
              </w:rPr>
            </w:pPr>
          </w:p>
        </w:tc>
      </w:tr>
      <w:tr w:rsidR="00856C0E" w:rsidRPr="00184920" w14:paraId="593E3F68"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43BBB8F" w14:textId="2E353024" w:rsidR="00856C0E" w:rsidRPr="00184920" w:rsidRDefault="00856C0E" w:rsidP="00856C0E">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7.</w:t>
            </w:r>
          </w:p>
        </w:tc>
        <w:tc>
          <w:tcPr>
            <w:tcW w:w="692" w:type="pct"/>
            <w:tcBorders>
              <w:top w:val="single" w:sz="6" w:space="0" w:color="000000"/>
              <w:left w:val="single" w:sz="6" w:space="0" w:color="000000"/>
              <w:bottom w:val="single" w:sz="6" w:space="0" w:color="000000"/>
              <w:right w:val="single" w:sz="6" w:space="0" w:color="000000"/>
            </w:tcBorders>
          </w:tcPr>
          <w:p w14:paraId="79D461F4" w14:textId="77777777" w:rsidR="00856C0E" w:rsidRPr="00490E0E" w:rsidRDefault="00856C0E" w:rsidP="00856C0E">
            <w:pPr>
              <w:pStyle w:val="ListParagraph"/>
              <w:shd w:val="clear" w:color="auto" w:fill="FFFFFF"/>
              <w:spacing w:line="240" w:lineRule="auto"/>
              <w:ind w:left="0"/>
              <w:contextualSpacing w:val="0"/>
              <w:jc w:val="both"/>
              <w:rPr>
                <w:rFonts w:ascii="Times New Roman" w:hAnsi="Times New Roman" w:cs="Times New Roman"/>
                <w:color w:val="000000"/>
                <w:sz w:val="20"/>
                <w:szCs w:val="20"/>
                <w:lang w:eastAsia="lv-LV"/>
              </w:rPr>
            </w:pPr>
            <w:r w:rsidRPr="00490E0E">
              <w:rPr>
                <w:rFonts w:ascii="Times New Roman" w:hAnsi="Times New Roman" w:cs="Times New Roman"/>
                <w:sz w:val="20"/>
                <w:szCs w:val="20"/>
              </w:rPr>
              <w:t>Papildināt 198.pantu ar divpadsmito daļu šādā redakcijā:</w:t>
            </w:r>
          </w:p>
          <w:p w14:paraId="63BECD2B" w14:textId="77777777" w:rsidR="00856C0E" w:rsidRPr="00490E0E" w:rsidRDefault="00856C0E" w:rsidP="00856C0E">
            <w:pPr>
              <w:shd w:val="clear" w:color="auto" w:fill="FFFFFF"/>
              <w:jc w:val="both"/>
              <w:rPr>
                <w:rFonts w:ascii="Times New Roman" w:hAnsi="Times New Roman" w:cs="Times New Roman"/>
                <w:noProof/>
                <w:sz w:val="20"/>
                <w:szCs w:val="20"/>
              </w:rPr>
            </w:pPr>
            <w:r w:rsidRPr="00490E0E">
              <w:rPr>
                <w:rFonts w:ascii="Times New Roman" w:hAnsi="Times New Roman" w:cs="Times New Roman"/>
                <w:noProof/>
                <w:sz w:val="20"/>
                <w:szCs w:val="20"/>
              </w:rPr>
              <w:t>“(12) Par pakalpojumu sniegšanu bez kredītiestādes licences (atļaujas), kas izsniegta saskaņā ar šā likuma 11.</w:t>
            </w:r>
            <w:r w:rsidRPr="00490E0E">
              <w:rPr>
                <w:rFonts w:ascii="Times New Roman" w:hAnsi="Times New Roman" w:cs="Times New Roman"/>
                <w:noProof/>
                <w:sz w:val="20"/>
                <w:szCs w:val="20"/>
                <w:vertAlign w:val="superscript"/>
              </w:rPr>
              <w:t>2</w:t>
            </w:r>
            <w:r w:rsidRPr="00490E0E">
              <w:rPr>
                <w:rFonts w:ascii="Times New Roman" w:hAnsi="Times New Roman" w:cs="Times New Roman"/>
                <w:noProof/>
                <w:sz w:val="20"/>
                <w:szCs w:val="20"/>
              </w:rPr>
              <w:t xml:space="preserve"> pantā noteikto, Finanšu un kapitāla tirgus komisija ir tiesīga piemērot </w:t>
            </w:r>
            <w:r w:rsidRPr="00490E0E">
              <w:rPr>
                <w:rFonts w:ascii="Times New Roman" w:hAnsi="Times New Roman" w:cs="Times New Roman"/>
                <w:noProof/>
                <w:sz w:val="20"/>
                <w:szCs w:val="20"/>
              </w:rPr>
              <w:lastRenderedPageBreak/>
              <w:t xml:space="preserve">šā panta desmitajā daļā noteiktās sankcijas.”.  </w:t>
            </w:r>
          </w:p>
          <w:p w14:paraId="429737C3" w14:textId="77777777" w:rsidR="00856C0E" w:rsidRPr="00184920" w:rsidRDefault="00856C0E" w:rsidP="00856C0E">
            <w:pPr>
              <w:shd w:val="clear" w:color="auto" w:fill="FFFFFF"/>
              <w:jc w:val="both"/>
              <w:rPr>
                <w:rFonts w:ascii="Times New Roman" w:eastAsia="Times New Roman" w:hAnsi="Times New Roman" w:cs="Times New Roman"/>
                <w:sz w:val="20"/>
                <w:lang w:eastAsia="lv-LV"/>
              </w:rPr>
            </w:pPr>
          </w:p>
        </w:tc>
        <w:tc>
          <w:tcPr>
            <w:tcW w:w="1309" w:type="pct"/>
            <w:tcBorders>
              <w:top w:val="single" w:sz="6" w:space="0" w:color="000000"/>
              <w:left w:val="single" w:sz="6" w:space="0" w:color="000000"/>
              <w:bottom w:val="single" w:sz="6" w:space="0" w:color="000000"/>
              <w:right w:val="single" w:sz="6" w:space="0" w:color="000000"/>
            </w:tcBorders>
          </w:tcPr>
          <w:p w14:paraId="21C30BCA" w14:textId="77777777" w:rsidR="00856C0E" w:rsidRDefault="00856C0E" w:rsidP="00856C0E">
            <w:pPr>
              <w:pStyle w:val="NormalWeb"/>
              <w:ind w:right="13"/>
              <w:jc w:val="both"/>
              <w:rPr>
                <w:sz w:val="20"/>
                <w:szCs w:val="20"/>
              </w:rPr>
            </w:pPr>
            <w:r w:rsidRPr="000F0474">
              <w:rPr>
                <w:b/>
                <w:sz w:val="20"/>
                <w:szCs w:val="20"/>
              </w:rPr>
              <w:lastRenderedPageBreak/>
              <w:t xml:space="preserve">Iebildums. </w:t>
            </w:r>
            <w:r w:rsidRPr="000F0474">
              <w:rPr>
                <w:sz w:val="20"/>
                <w:szCs w:val="20"/>
              </w:rPr>
              <w:t>Likumprojekta 5. pants paredz papildināt Likuma 198. pantu ar divpadsmito daļu, nosakot, ka par pakalpojumu sniegšanu bez kredītiestādes licences (atļaujas), kas izsniegta saskaņā ar šā Likuma 11.</w:t>
            </w:r>
            <w:r w:rsidRPr="000F0474">
              <w:rPr>
                <w:sz w:val="20"/>
                <w:szCs w:val="20"/>
                <w:vertAlign w:val="superscript"/>
              </w:rPr>
              <w:t>2</w:t>
            </w:r>
            <w:r w:rsidRPr="000F0474">
              <w:rPr>
                <w:sz w:val="20"/>
                <w:szCs w:val="20"/>
              </w:rPr>
              <w:t xml:space="preserve"> pantā noteikto, Komisija ir tiesīga piemērot šā panta desmitajā daļā noteiktās sankcijas.</w:t>
            </w:r>
          </w:p>
          <w:p w14:paraId="52A80053" w14:textId="77777777" w:rsidR="00856C0E" w:rsidRPr="000F0474" w:rsidRDefault="00856C0E" w:rsidP="00856C0E">
            <w:pPr>
              <w:pStyle w:val="NormalWeb"/>
              <w:ind w:right="13"/>
              <w:jc w:val="both"/>
              <w:rPr>
                <w:sz w:val="20"/>
                <w:szCs w:val="20"/>
              </w:rPr>
            </w:pPr>
            <w:r w:rsidRPr="000F0474">
              <w:rPr>
                <w:sz w:val="20"/>
                <w:szCs w:val="20"/>
              </w:rPr>
              <w:t xml:space="preserve">Vēršam uzmanību uz to, ka Administratīvā procesa regulējums nav veidots, balstoties uz sodu un sodoša rakstura administratīvo sankciju piemērošanas procesam raksturīgajiem principiem. Tā pamatā ir pavisam atšķirīga </w:t>
            </w:r>
            <w:r w:rsidRPr="000F0474">
              <w:rPr>
                <w:sz w:val="20"/>
                <w:szCs w:val="20"/>
              </w:rPr>
              <w:lastRenderedPageBreak/>
              <w:t>veida tiesiskās attiecības valsts pārvaldē. Līdz ar to sankciju piemērošanas process nav pienācīgi noregulēts.</w:t>
            </w:r>
          </w:p>
          <w:p w14:paraId="122155FC" w14:textId="77777777" w:rsidR="00856C0E" w:rsidRPr="000F0474" w:rsidRDefault="00856C0E" w:rsidP="00856C0E">
            <w:pPr>
              <w:pStyle w:val="NormalWeb"/>
              <w:ind w:right="13"/>
              <w:jc w:val="both"/>
              <w:rPr>
                <w:sz w:val="20"/>
                <w:szCs w:val="20"/>
              </w:rPr>
            </w:pPr>
            <w:r w:rsidRPr="000F0474">
              <w:rPr>
                <w:sz w:val="20"/>
                <w:szCs w:val="20"/>
              </w:rPr>
              <w:t>Šobrīd ir pieņemts daudz atbilstošāks regulējums – Administratīvās atbildības likums. Gan no personas tiesību nodrošināšanas viedokļa, gan sistēmiski labāks risinājums ir iekļaut ar Likumprojektu saistīto sodoša rakstura administratīvo sankciju piemērošanu administratīvā pārkāpuma procesa regulējumā.</w:t>
            </w:r>
          </w:p>
          <w:p w14:paraId="23EC5241" w14:textId="77777777" w:rsidR="00856C0E" w:rsidRPr="000F0474" w:rsidRDefault="00856C0E" w:rsidP="00856C0E">
            <w:pPr>
              <w:pStyle w:val="NormalWeb"/>
              <w:ind w:right="13"/>
              <w:jc w:val="both"/>
              <w:rPr>
                <w:sz w:val="20"/>
                <w:szCs w:val="20"/>
              </w:rPr>
            </w:pPr>
            <w:r w:rsidRPr="000F0474">
              <w:rPr>
                <w:sz w:val="20"/>
                <w:szCs w:val="20"/>
              </w:rPr>
              <w:t>Ievērojot minēto, nav atbalstāms projektā paredzētais sodoša rakstura administratīvo sankciju regulējums, to nepieciešams pilnveidot un iekļaut administratīvās atbildības sistēmā.</w:t>
            </w:r>
          </w:p>
          <w:p w14:paraId="3C1C59CF" w14:textId="77777777" w:rsidR="00856C0E" w:rsidRPr="000F0474" w:rsidRDefault="00856C0E" w:rsidP="00856C0E">
            <w:pPr>
              <w:pStyle w:val="NormalWeb"/>
              <w:ind w:right="13"/>
              <w:jc w:val="both"/>
              <w:rPr>
                <w:sz w:val="20"/>
                <w:szCs w:val="20"/>
              </w:rPr>
            </w:pPr>
            <w:r w:rsidRPr="000F0474">
              <w:rPr>
                <w:sz w:val="20"/>
                <w:szCs w:val="20"/>
              </w:rPr>
              <w:t>Turklāt, lai arī noilguma termiņa neesība normatīvajā aktā pati par sevi neizslēdz iespēju piemērot sodu, tiesiskās noteiktības interesēs tādu ir svarīgi noteikt it īpaši tajos gadījumos, kad valsts pārvaldes iestādēm tiek piešķirtas tiesības piemērot sodus ārpus Administratīvās atbildības likumā noteiktās administratīvās atbildības sistēmas.</w:t>
            </w:r>
            <w:r w:rsidRPr="000F0474">
              <w:rPr>
                <w:rStyle w:val="FootnoteReference"/>
                <w:sz w:val="20"/>
                <w:szCs w:val="20"/>
              </w:rPr>
              <w:footnoteReference w:id="1"/>
            </w:r>
            <w:r w:rsidRPr="000F0474">
              <w:rPr>
                <w:sz w:val="20"/>
                <w:szCs w:val="20"/>
              </w:rPr>
              <w:t xml:space="preserve"> Noilguma termiņa izvēlē izmantojami kritēriji, kas ir Krimināllikumā un Administratīvās atbildības likumā ietvertā noilguma institūta pamatā.</w:t>
            </w:r>
          </w:p>
          <w:p w14:paraId="26AE3E01" w14:textId="77777777" w:rsidR="00856C0E" w:rsidRPr="000F0474" w:rsidRDefault="00856C0E" w:rsidP="00856C0E">
            <w:pPr>
              <w:pStyle w:val="NormalWeb"/>
              <w:ind w:right="13"/>
              <w:jc w:val="both"/>
              <w:rPr>
                <w:sz w:val="20"/>
                <w:szCs w:val="20"/>
              </w:rPr>
            </w:pPr>
            <w:r w:rsidRPr="000F0474">
              <w:rPr>
                <w:sz w:val="20"/>
                <w:szCs w:val="20"/>
              </w:rPr>
              <w:t>Papildus vēršam uzmanību uz to, ka nepieciešams izvērtēt Likumprojekta 5. pantā paredzētajā Likuma 198. panta divpadsmitajā daļā ietverto atsauci uz visām šā panta desmitajā daļā noteiktajām sankcijām, jo tā ir pārāk plaša un līdz ar to nav skaidrs, kādēļ vajadzētu attiecināt jebkuru no Likuma 198. panta desmitajā daļā noteiktajām sankcijām, proti, darbība bez licences ir konkrēts pārkāpums, par ko vajadzētu noteikt pietiekami precīzu sodu.</w:t>
            </w:r>
          </w:p>
          <w:p w14:paraId="2DF125AD" w14:textId="77777777" w:rsidR="00856C0E" w:rsidRDefault="00856C0E" w:rsidP="00856C0E">
            <w:pPr>
              <w:spacing w:after="0" w:line="240" w:lineRule="auto"/>
              <w:jc w:val="both"/>
              <w:rPr>
                <w:rFonts w:ascii="Times New Roman" w:hAnsi="Times New Roman" w:cs="Times New Roman"/>
                <w:sz w:val="20"/>
                <w:szCs w:val="20"/>
              </w:rPr>
            </w:pPr>
            <w:r w:rsidRPr="000F0474">
              <w:rPr>
                <w:rFonts w:ascii="Times New Roman" w:hAnsi="Times New Roman" w:cs="Times New Roman"/>
                <w:sz w:val="20"/>
                <w:szCs w:val="20"/>
              </w:rPr>
              <w:lastRenderedPageBreak/>
              <w:t>Ievērojot minēto, lūdzam izvērtēt Likumprojekta 5. pantā paredzētajā Likuma 198. panta divpadsmitajā daļā ietverto regulējumu un attiecīgi precizēt Likumprojektu.</w:t>
            </w:r>
          </w:p>
          <w:p w14:paraId="41FEF926" w14:textId="77777777" w:rsidR="00856C0E" w:rsidRDefault="00856C0E" w:rsidP="00856C0E">
            <w:pPr>
              <w:spacing w:after="0" w:line="240" w:lineRule="auto"/>
              <w:jc w:val="both"/>
              <w:rPr>
                <w:rFonts w:ascii="Times New Roman" w:eastAsia="Times New Roman" w:hAnsi="Times New Roman" w:cs="Times New Roman"/>
                <w:sz w:val="20"/>
                <w:szCs w:val="20"/>
                <w:lang w:eastAsia="lv-LV"/>
              </w:rPr>
            </w:pPr>
          </w:p>
          <w:p w14:paraId="6DA90224" w14:textId="77777777" w:rsidR="00856C0E" w:rsidRPr="00F9301A" w:rsidRDefault="00856C0E" w:rsidP="00856C0E">
            <w:pPr>
              <w:spacing w:after="0" w:line="240" w:lineRule="auto"/>
              <w:jc w:val="both"/>
              <w:rPr>
                <w:rFonts w:ascii="Times New Roman" w:eastAsia="Times New Roman" w:hAnsi="Times New Roman" w:cs="Times New Roman"/>
                <w:b/>
                <w:bCs/>
                <w:sz w:val="20"/>
                <w:szCs w:val="20"/>
              </w:rPr>
            </w:pPr>
            <w:r w:rsidRPr="00F9301A">
              <w:rPr>
                <w:rFonts w:ascii="Times New Roman" w:eastAsia="Times New Roman" w:hAnsi="Times New Roman" w:cs="Times New Roman"/>
                <w:b/>
                <w:bCs/>
                <w:sz w:val="20"/>
                <w:szCs w:val="20"/>
              </w:rPr>
              <w:t>Š.g. 7.maija iebildums.</w:t>
            </w:r>
          </w:p>
          <w:p w14:paraId="07C40908" w14:textId="77777777" w:rsidR="00856C0E" w:rsidRPr="00F9301A" w:rsidRDefault="00856C0E" w:rsidP="00856C0E">
            <w:pPr>
              <w:jc w:val="both"/>
              <w:rPr>
                <w:rFonts w:ascii="Times New Roman" w:eastAsia="Times New Roman" w:hAnsi="Times New Roman" w:cs="Times New Roman"/>
                <w:sz w:val="20"/>
                <w:szCs w:val="20"/>
              </w:rPr>
            </w:pPr>
            <w:r w:rsidRPr="00F9301A">
              <w:rPr>
                <w:rFonts w:ascii="Times New Roman" w:eastAsia="Times New Roman" w:hAnsi="Times New Roman" w:cs="Times New Roman"/>
                <w:sz w:val="20"/>
                <w:szCs w:val="20"/>
              </w:rPr>
              <w:t>Norādām, ka Tieslietu ministrija kopumā neatbalsta sodoša 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likumprojektu vai ar grozāmo likumu saistīto sodoša rakstura administratīvo sankciju piemērošanu administratīvā pārkāpuma procesa regulējumā.   </w:t>
            </w:r>
          </w:p>
          <w:p w14:paraId="069B2564" w14:textId="77777777" w:rsidR="00856C0E" w:rsidRPr="00F9301A" w:rsidRDefault="00856C0E" w:rsidP="00856C0E">
            <w:pPr>
              <w:ind w:firstLine="720"/>
              <w:jc w:val="both"/>
              <w:rPr>
                <w:rFonts w:ascii="Times New Roman" w:eastAsia="Times New Roman" w:hAnsi="Times New Roman" w:cs="Times New Roman"/>
                <w:sz w:val="20"/>
                <w:szCs w:val="20"/>
              </w:rPr>
            </w:pPr>
            <w:r w:rsidRPr="00F9301A">
              <w:rPr>
                <w:rFonts w:ascii="Times New Roman" w:eastAsia="Times New Roman" w:hAnsi="Times New Roman" w:cs="Times New Roman"/>
                <w:sz w:val="20"/>
                <w:szCs w:val="20"/>
              </w:rPr>
              <w:t>Turklāt arī spēkā esošajā regulējumā nav skaidri nodalītas sodoša rakstura sankcijas un nav izveidots pienācīgs to piemērošanas process.   </w:t>
            </w:r>
          </w:p>
          <w:p w14:paraId="08F62AA0" w14:textId="77777777" w:rsidR="00856C0E" w:rsidRPr="00F9301A" w:rsidRDefault="00856C0E" w:rsidP="00856C0E">
            <w:pPr>
              <w:ind w:firstLine="720"/>
              <w:jc w:val="both"/>
              <w:rPr>
                <w:rFonts w:ascii="Times New Roman" w:eastAsia="Times New Roman" w:hAnsi="Times New Roman" w:cs="Times New Roman"/>
                <w:sz w:val="20"/>
                <w:szCs w:val="20"/>
              </w:rPr>
            </w:pPr>
            <w:r w:rsidRPr="00F9301A">
              <w:rPr>
                <w:rFonts w:ascii="Times New Roman" w:eastAsia="Times New Roman" w:hAnsi="Times New Roman" w:cs="Times New Roman"/>
                <w:sz w:val="20"/>
                <w:szCs w:val="20"/>
              </w:rPr>
              <w:t>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 Vēršam uzmanību uz to, ka minētais uzdevums ir attiecināms arī uz visiem šajā gadījumā grozītajiem likumiem.   </w:t>
            </w:r>
          </w:p>
          <w:p w14:paraId="66CDDF90" w14:textId="77777777" w:rsidR="00856C0E" w:rsidRPr="00F9301A" w:rsidRDefault="00856C0E" w:rsidP="00856C0E">
            <w:pPr>
              <w:jc w:val="both"/>
              <w:rPr>
                <w:rFonts w:ascii="Times New Roman" w:eastAsia="Times New Roman" w:hAnsi="Times New Roman" w:cs="Times New Roman"/>
                <w:sz w:val="20"/>
                <w:szCs w:val="20"/>
              </w:rPr>
            </w:pPr>
            <w:r w:rsidRPr="00F9301A">
              <w:rPr>
                <w:rFonts w:ascii="Times New Roman" w:eastAsia="Times New Roman" w:hAnsi="Times New Roman" w:cs="Times New Roman"/>
                <w:sz w:val="20"/>
                <w:szCs w:val="20"/>
              </w:rPr>
              <w:lastRenderedPageBreak/>
              <w:t>Vienlaikus norādām uz to, ka projekta sākotnējās (ex-ante) ietekmes novērtējuma ziņojuma (turpmāk – anotācija) I sadaļas 2. punktā nepieciešams norādīt pamatojumu projekta 5. pantā paredzētās sankcijas veida un apmēra izvēlei. Šobrīd tikai no anotācijas V sadaļas iespējams secināt, ka tādējādi tiek ieviestas attiecīgās Eiropas Savienības direktīvas prasības. Tomēr vēlams detalizētu informāciju par sankcijas veida un apmēra izvēli, konkrēti norādot Eiropas Savienības tiesību aktos ietvertās prasības, ietvert arī anotācijas I sadaļas 2. punktā.   </w:t>
            </w:r>
          </w:p>
          <w:p w14:paraId="3E431360" w14:textId="0306944C" w:rsidR="00856C0E" w:rsidRPr="000F0474" w:rsidRDefault="00856C0E" w:rsidP="00856C0E">
            <w:pPr>
              <w:spacing w:after="0" w:line="240" w:lineRule="auto"/>
              <w:jc w:val="both"/>
              <w:rPr>
                <w:rFonts w:ascii="Times New Roman" w:eastAsia="Times New Roman" w:hAnsi="Times New Roman" w:cs="Times New Roman"/>
                <w:sz w:val="20"/>
                <w:szCs w:val="20"/>
                <w:lang w:eastAsia="lv-LV"/>
              </w:rPr>
            </w:pPr>
            <w:r w:rsidRPr="00F9301A">
              <w:rPr>
                <w:rFonts w:ascii="Times New Roman" w:eastAsia="Times New Roman" w:hAnsi="Times New Roman" w:cs="Times New Roman"/>
                <w:sz w:val="20"/>
                <w:szCs w:val="20"/>
              </w:rPr>
              <w:t>Citi iepriekšējā Tieslietu ministrijas atzinumā un izziņā minētie jautājumi risināmi Ministru kabineta 2021. gada 11. marta sēdes protokola Nr. 25 36. § 5. punktā noteiktā uzdevuma ietvaros.</w:t>
            </w:r>
          </w:p>
        </w:tc>
        <w:tc>
          <w:tcPr>
            <w:tcW w:w="848" w:type="pct"/>
            <w:gridSpan w:val="2"/>
            <w:tcBorders>
              <w:top w:val="single" w:sz="6" w:space="0" w:color="000000"/>
              <w:left w:val="single" w:sz="6" w:space="0" w:color="000000"/>
              <w:bottom w:val="single" w:sz="6" w:space="0" w:color="000000"/>
              <w:right w:val="single" w:sz="6" w:space="0" w:color="000000"/>
            </w:tcBorders>
          </w:tcPr>
          <w:p w14:paraId="1975499D" w14:textId="77777777" w:rsidR="00856C0E" w:rsidRDefault="00856C0E" w:rsidP="00856C0E">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lastRenderedPageBreak/>
              <w:t xml:space="preserve">Sniedzam skaidrojumu. Papildināta anotācija. </w:t>
            </w:r>
            <w:r w:rsidRPr="00537C21">
              <w:rPr>
                <w:rFonts w:ascii="Times New Roman" w:hAnsi="Times New Roman" w:cs="Times New Roman"/>
                <w:sz w:val="20"/>
                <w:szCs w:val="20"/>
              </w:rPr>
              <w:t>Vēršam uzmanību, ka ar likumprojekta 5.panta, Kredītiestāžu likuma 198.panta divpadsmito daļu tie pārņemtas Direktīvas Nr. 2019/2034 62.panta 13.punkta prasība.</w:t>
            </w:r>
            <w:r>
              <w:rPr>
                <w:rFonts w:ascii="Times New Roman" w:hAnsi="Times New Roman" w:cs="Times New Roman"/>
                <w:sz w:val="20"/>
                <w:szCs w:val="20"/>
              </w:rPr>
              <w:t xml:space="preserve"> Papildus uzsveram, ka Kredītiestāžu likuma 198.panta desmitā daļa paredz soda naudas uzlikšanu par pakalpojumu sniegšanu bez kredītiestādes licences (atļaujas).</w:t>
            </w:r>
          </w:p>
          <w:p w14:paraId="4395D70A" w14:textId="77777777" w:rsidR="00856C0E" w:rsidRPr="00922B43" w:rsidRDefault="00856C0E" w:rsidP="00856C0E">
            <w:pPr>
              <w:spacing w:after="0" w:line="240" w:lineRule="auto"/>
              <w:jc w:val="both"/>
              <w:rPr>
                <w:rFonts w:ascii="Times New Roman" w:hAnsi="Times New Roman" w:cs="Times New Roman"/>
                <w:bCs/>
                <w:sz w:val="20"/>
                <w:szCs w:val="20"/>
              </w:rPr>
            </w:pPr>
            <w:r w:rsidRPr="00922B43">
              <w:rPr>
                <w:rFonts w:ascii="Times New Roman" w:hAnsi="Times New Roman" w:cs="Times New Roman"/>
                <w:bCs/>
                <w:sz w:val="20"/>
                <w:szCs w:val="20"/>
              </w:rPr>
              <w:lastRenderedPageBreak/>
              <w:t xml:space="preserve">Ar Ministru kabineta 2020. gada 11. marta protokollēmumu (pieejams: </w:t>
            </w:r>
            <w:hyperlink r:id="rId9" w:history="1">
              <w:r w:rsidRPr="00922B43">
                <w:rPr>
                  <w:rStyle w:val="Hyperlink"/>
                  <w:rFonts w:ascii="Times New Roman" w:hAnsi="Times New Roman" w:cs="Times New Roman"/>
                  <w:bCs/>
                  <w:sz w:val="20"/>
                  <w:szCs w:val="20"/>
                </w:rPr>
                <w:t>http://tap.mk.gov.lv/mk/mksedes/saraksts/protokols/?protokols=2021-03-110</w:t>
              </w:r>
            </w:hyperlink>
            <w:r w:rsidRPr="00922B43">
              <w:rPr>
                <w:rFonts w:ascii="Times New Roman" w:hAnsi="Times New Roman" w:cs="Times New Roman"/>
                <w:bCs/>
                <w:sz w:val="20"/>
                <w:szCs w:val="20"/>
              </w:rPr>
              <w:t xml:space="preserve">) atbalstot likumprojekta “Latvijas Bankas likums” (TA-2541) saistītās likumprojektu pakas likumprojektus tika atbalstīts arī likumprojekts “Grozījumi Apdrošināšanas un pārapdrošināšanas izplatīšanas likumā” ((TA-350); prot. Nr.25, 36.§ 1. punkts), vienlaikus protokollēmuma 5. punktā nosakot, ka Finanšu ministrijai sadarbībā ar Tieslietu ministriju līdz 2023. gada 1. janvārim nepieciešams sagatavot priekšlikumus par sodoša rakstura administratīvajām sankcijām un procesuālajām garantijām privātpersonām finanšu tirgu regulējošajos normatīvajos aktos, lai nošķirtu administratīvās atbildības un administratīvā procesa piemērošanu šajā jomā. </w:t>
            </w:r>
          </w:p>
          <w:p w14:paraId="66676DA7" w14:textId="77777777" w:rsidR="00856C0E" w:rsidRPr="00922B43" w:rsidRDefault="00856C0E" w:rsidP="00856C0E">
            <w:pPr>
              <w:spacing w:after="0" w:line="240" w:lineRule="auto"/>
              <w:ind w:firstLine="720"/>
              <w:jc w:val="both"/>
              <w:rPr>
                <w:rFonts w:ascii="Times New Roman" w:hAnsi="Times New Roman" w:cs="Times New Roman"/>
                <w:bCs/>
                <w:sz w:val="20"/>
                <w:szCs w:val="20"/>
              </w:rPr>
            </w:pPr>
            <w:r w:rsidRPr="00922B43">
              <w:rPr>
                <w:rFonts w:ascii="Times New Roman" w:hAnsi="Times New Roman" w:cs="Times New Roman"/>
                <w:bCs/>
                <w:sz w:val="20"/>
                <w:szCs w:val="20"/>
              </w:rPr>
              <w:t xml:space="preserve">Minētā uzdevuma priekšvēsture ir saistīta ar Ministru kabineta 2019. gada 14. maija sēdes protokollēmumā  (pieejams </w:t>
            </w:r>
            <w:hyperlink r:id="rId10" w:history="1">
              <w:r w:rsidRPr="00922B43">
                <w:rPr>
                  <w:rStyle w:val="Hyperlink"/>
                  <w:rFonts w:ascii="Times New Roman" w:hAnsi="Times New Roman" w:cs="Times New Roman"/>
                  <w:bCs/>
                  <w:sz w:val="20"/>
                  <w:szCs w:val="20"/>
                </w:rPr>
                <w:t>http://tap.mk.gov.lv/mk/mksedes/saraksts/protokols/?protokols=2019-05-14</w:t>
              </w:r>
            </w:hyperlink>
            <w:r w:rsidRPr="00922B43">
              <w:rPr>
                <w:rFonts w:ascii="Times New Roman" w:hAnsi="Times New Roman" w:cs="Times New Roman"/>
                <w:bCs/>
                <w:sz w:val="20"/>
                <w:szCs w:val="20"/>
              </w:rPr>
              <w:t>) noteikto</w:t>
            </w:r>
            <w:r w:rsidRPr="00922B43">
              <w:rPr>
                <w:rFonts w:ascii="Times New Roman" w:hAnsi="Times New Roman" w:cs="Times New Roman"/>
                <w:sz w:val="20"/>
                <w:szCs w:val="20"/>
              </w:rPr>
              <w:t xml:space="preserve"> (prot. Nr. 24 15.§ 4. punkts)</w:t>
            </w:r>
            <w:r w:rsidRPr="00922B43">
              <w:rPr>
                <w:rFonts w:ascii="Times New Roman" w:hAnsi="Times New Roman" w:cs="Times New Roman"/>
                <w:bCs/>
                <w:sz w:val="20"/>
                <w:szCs w:val="20"/>
              </w:rPr>
              <w:t xml:space="preserve">, ka Tieslietu ministrija savas kompetences ietvaros kā administratīvo tiesību politikas veidotājs un Finanšu ministrija kā finanšu politikas veidotājs, un </w:t>
            </w:r>
            <w:r w:rsidRPr="00922B43">
              <w:rPr>
                <w:rFonts w:ascii="Times New Roman" w:hAnsi="Times New Roman" w:cs="Times New Roman"/>
                <w:bCs/>
                <w:sz w:val="20"/>
                <w:szCs w:val="20"/>
              </w:rPr>
              <w:lastRenderedPageBreak/>
              <w:t xml:space="preserve">institūcijas, kurām ir tiesības piemērot administratīvajai atbildībai līdzīgus piespiedu ietekmēšanas līdzekļus (administratīvās sankcijas), izvērtē šādu piespiedu ietekmēšanas līdzekļu nepieciešamību un to piemērošanas procesu. </w:t>
            </w:r>
          </w:p>
          <w:p w14:paraId="28E68366" w14:textId="77777777" w:rsidR="00856C0E" w:rsidRPr="00922B43" w:rsidRDefault="00856C0E" w:rsidP="00856C0E">
            <w:pPr>
              <w:spacing w:after="0" w:line="240" w:lineRule="auto"/>
              <w:ind w:firstLine="720"/>
              <w:jc w:val="both"/>
              <w:rPr>
                <w:rFonts w:ascii="Times New Roman" w:hAnsi="Times New Roman" w:cs="Times New Roman"/>
                <w:bCs/>
                <w:sz w:val="20"/>
                <w:szCs w:val="20"/>
              </w:rPr>
            </w:pPr>
            <w:r w:rsidRPr="00922B43">
              <w:rPr>
                <w:rFonts w:ascii="Times New Roman" w:hAnsi="Times New Roman" w:cs="Times New Roman"/>
                <w:sz w:val="20"/>
                <w:szCs w:val="20"/>
              </w:rPr>
              <w:t xml:space="preserve">Ministru kabinets 2020. gada 21. janvārī </w:t>
            </w:r>
            <w:r w:rsidRPr="00922B43">
              <w:rPr>
                <w:rFonts w:ascii="Times New Roman" w:hAnsi="Times New Roman" w:cs="Times New Roman"/>
                <w:bCs/>
                <w:sz w:val="20"/>
                <w:szCs w:val="20"/>
              </w:rPr>
              <w:t xml:space="preserve"> </w:t>
            </w:r>
            <w:r w:rsidRPr="00922B43">
              <w:rPr>
                <w:rFonts w:ascii="Times New Roman" w:hAnsi="Times New Roman" w:cs="Times New Roman"/>
                <w:sz w:val="20"/>
                <w:szCs w:val="20"/>
              </w:rPr>
              <w:t xml:space="preserve">noteica </w:t>
            </w:r>
            <w:r w:rsidRPr="00922B43">
              <w:rPr>
                <w:rFonts w:ascii="Times New Roman" w:hAnsi="Times New Roman" w:cs="Times New Roman"/>
                <w:bCs/>
                <w:sz w:val="20"/>
                <w:szCs w:val="20"/>
              </w:rPr>
              <w:t xml:space="preserve">Tieslietu ministrijai līdz 2020. gada 31. decembrim izstrādāt kritērijus, kā identificēt administratīvajai atbildībai līdzīgus piespiedu ietekmēšanas līdzekļus, izvērtēt, kādi materiālie un procesuālie priekšnoteikumi nodrošināmi šādu piespiedu līdzekļu piemērošanas procesā, un izvērtēt iespējamību izveidot vienotu administratīvās atbildības sistēmas normatīvo regulējumu </w:t>
            </w:r>
            <w:r w:rsidRPr="00922B43">
              <w:rPr>
                <w:rFonts w:ascii="Times New Roman" w:hAnsi="Times New Roman" w:cs="Times New Roman"/>
                <w:sz w:val="20"/>
                <w:szCs w:val="20"/>
              </w:rPr>
              <w:t>(</w:t>
            </w:r>
            <w:r w:rsidRPr="00922B43">
              <w:rPr>
                <w:rFonts w:ascii="Times New Roman" w:hAnsi="Times New Roman" w:cs="Times New Roman"/>
                <w:bCs/>
                <w:sz w:val="20"/>
                <w:szCs w:val="20"/>
              </w:rPr>
              <w:t>prot. Nr. 3, 24. §).</w:t>
            </w:r>
          </w:p>
          <w:p w14:paraId="2E4BB0D4" w14:textId="77777777" w:rsidR="00856C0E" w:rsidRPr="00922B43" w:rsidRDefault="00856C0E" w:rsidP="00856C0E">
            <w:pPr>
              <w:spacing w:after="0" w:line="240" w:lineRule="auto"/>
              <w:ind w:firstLine="720"/>
              <w:jc w:val="both"/>
              <w:rPr>
                <w:rFonts w:ascii="Times New Roman" w:hAnsi="Times New Roman" w:cs="Times New Roman"/>
                <w:bCs/>
                <w:sz w:val="20"/>
                <w:szCs w:val="20"/>
              </w:rPr>
            </w:pPr>
            <w:r w:rsidRPr="00922B43">
              <w:rPr>
                <w:rFonts w:ascii="Times New Roman" w:hAnsi="Times New Roman" w:cs="Times New Roman"/>
                <w:bCs/>
                <w:sz w:val="20"/>
                <w:szCs w:val="20"/>
              </w:rPr>
              <w:t>Ministru kabinets  2020. gada 31. marta sēdē izskatīja Finanšu ministrijas informatīvo ziņojumu "Par piespiedu ietekmēšanas līdzekļu (administratīvo sankciju) nepieciešamību un to piemērošanas procesu finanšu un kapitāla tirgus jomā, vērtējot to kopsakarā ar Administratīvās atbildības likuma un Administratīvā procesa likuma regulējumu"  (turpmāk – informatīvais ziņojums) un nolēma  saglabāt esošo kārtību attiecībā uz piespiedu ietekmēšanas līdzekļu (administratīvo sankciju) piemērošanas procesu finanšu un kapitāla tirgus jomā (prot. Nr. 20, 30.§, 2. punkts).</w:t>
            </w:r>
          </w:p>
          <w:p w14:paraId="28CB8783" w14:textId="77777777" w:rsidR="00856C0E" w:rsidRPr="00922B43" w:rsidRDefault="00856C0E" w:rsidP="00856C0E">
            <w:pPr>
              <w:spacing w:after="0" w:line="240" w:lineRule="auto"/>
              <w:ind w:firstLine="720"/>
              <w:jc w:val="both"/>
              <w:rPr>
                <w:rFonts w:ascii="Times New Roman" w:hAnsi="Times New Roman" w:cs="Times New Roman"/>
                <w:sz w:val="20"/>
                <w:szCs w:val="20"/>
              </w:rPr>
            </w:pPr>
            <w:r w:rsidRPr="00922B43">
              <w:rPr>
                <w:rFonts w:ascii="Times New Roman" w:hAnsi="Times New Roman" w:cs="Times New Roman"/>
                <w:bCs/>
                <w:sz w:val="20"/>
                <w:szCs w:val="20"/>
              </w:rPr>
              <w:lastRenderedPageBreak/>
              <w:t>Saskaņojot likumprojektu “Latvijas Bankas likums” un ar to saistīto 26 likumprojektu paku, Tieslietu ministrija izteica konceptuālu iebildumu, ka finanšu nozari regulējošajos likumos nepieciešams izvērtēt</w:t>
            </w:r>
            <w:r w:rsidRPr="00922B43">
              <w:rPr>
                <w:rFonts w:ascii="Times New Roman" w:hAnsi="Times New Roman" w:cs="Times New Roman"/>
                <w:sz w:val="20"/>
                <w:szCs w:val="20"/>
              </w:rPr>
              <w:t xml:space="preserve"> pasākumu atbilstību sodoša rakstura administratīvo sankciju pazīmēm, un skaidri identificēt šādas sodoša rakstura sankcijas, kā arī izvērtēt to piemērošanas procesu, lai nodrošinātu vienotu un sistēmisku procesa regulējumu nozarē.</w:t>
            </w:r>
          </w:p>
          <w:p w14:paraId="231A85E8" w14:textId="77777777" w:rsidR="00856C0E" w:rsidRPr="00922B43" w:rsidRDefault="00856C0E" w:rsidP="00856C0E">
            <w:pPr>
              <w:spacing w:after="0" w:line="240" w:lineRule="auto"/>
              <w:ind w:firstLine="720"/>
              <w:jc w:val="both"/>
              <w:rPr>
                <w:rFonts w:ascii="Times New Roman" w:hAnsi="Times New Roman" w:cs="Times New Roman"/>
                <w:bCs/>
                <w:sz w:val="20"/>
                <w:szCs w:val="20"/>
              </w:rPr>
            </w:pPr>
            <w:r w:rsidRPr="00922B43">
              <w:rPr>
                <w:rFonts w:ascii="Times New Roman" w:hAnsi="Times New Roman" w:cs="Times New Roman"/>
                <w:bCs/>
                <w:sz w:val="20"/>
                <w:szCs w:val="20"/>
              </w:rPr>
              <w:t xml:space="preserve">Ņemot vērā minēto, Finanšu ministrija ir uzsākusi finanšu nozari regulējošajos likumos, tai skaitā, Kredītiestāžu likumā, identificēt un nodalīt sodoša rakstura administratīvās sankcijas no uzraudzības pasākumiem, vienlaikus konsultējoties ar Tieslietu ministriju par izvēlētās metodes atbilstību administratīvās atbildības un administratīvā procesa piemērošanai šajā jomā. </w:t>
            </w:r>
          </w:p>
          <w:p w14:paraId="4B8FDC8A" w14:textId="77777777" w:rsidR="00856C0E" w:rsidRPr="00922B43" w:rsidRDefault="00856C0E" w:rsidP="00856C0E">
            <w:pPr>
              <w:spacing w:after="0" w:line="240" w:lineRule="auto"/>
              <w:jc w:val="both"/>
              <w:rPr>
                <w:rFonts w:ascii="Times New Roman" w:hAnsi="Times New Roman" w:cs="Times New Roman"/>
                <w:bCs/>
                <w:color w:val="FF0000"/>
                <w:sz w:val="20"/>
                <w:szCs w:val="20"/>
              </w:rPr>
            </w:pPr>
            <w:r w:rsidRPr="00922B43">
              <w:rPr>
                <w:rFonts w:ascii="Times New Roman" w:hAnsi="Times New Roman" w:cs="Times New Roman"/>
                <w:bCs/>
                <w:sz w:val="20"/>
                <w:szCs w:val="20"/>
              </w:rPr>
              <w:t xml:space="preserve"> </w:t>
            </w:r>
            <w:r w:rsidRPr="00922B43">
              <w:rPr>
                <w:rFonts w:ascii="Times New Roman" w:hAnsi="Times New Roman" w:cs="Times New Roman"/>
                <w:bCs/>
                <w:sz w:val="20"/>
                <w:szCs w:val="20"/>
              </w:rPr>
              <w:tab/>
              <w:t>Atbilstoši grozījumi Kredītiestāžu likumā tiek gatavoti un plānots tos iesniegt Saeimas atbildīgajā komisijā pirms 2. lasījuma likumprojektam “Grozījumi Kredītiestāžu likumā” (Nr. </w:t>
            </w:r>
            <w:hyperlink r:id="rId11" w:tgtFrame="_blank" w:history="1">
              <w:r w:rsidRPr="00922B43">
                <w:rPr>
                  <w:rStyle w:val="Hyperlink"/>
                  <w:rFonts w:ascii="Times New Roman" w:hAnsi="Times New Roman" w:cs="Times New Roman"/>
                  <w:bCs/>
                  <w:sz w:val="20"/>
                  <w:szCs w:val="20"/>
                </w:rPr>
                <w:t>1005/Lp13</w:t>
              </w:r>
            </w:hyperlink>
            <w:r w:rsidRPr="00922B43">
              <w:rPr>
                <w:rFonts w:ascii="Times New Roman" w:hAnsi="Times New Roman" w:cs="Times New Roman"/>
                <w:bCs/>
                <w:sz w:val="20"/>
                <w:szCs w:val="20"/>
              </w:rPr>
              <w:t xml:space="preserve">).  Līdz ar to </w:t>
            </w:r>
            <w:r>
              <w:rPr>
                <w:rFonts w:ascii="Times New Roman" w:hAnsi="Times New Roman" w:cs="Times New Roman"/>
                <w:bCs/>
                <w:sz w:val="20"/>
                <w:szCs w:val="20"/>
              </w:rPr>
              <w:t xml:space="preserve">uzsveram, ka šā likumprojekta kontekstā Kredītiestāžu likumā ietvertās sankcijas nav jāpārskata. Likumprojekta 5.pants (198.panta divpadsmitā daļa) paredz pārņemt </w:t>
            </w:r>
            <w:r w:rsidRPr="00537C21">
              <w:rPr>
                <w:rFonts w:ascii="Times New Roman" w:hAnsi="Times New Roman" w:cs="Times New Roman"/>
                <w:sz w:val="20"/>
                <w:szCs w:val="20"/>
              </w:rPr>
              <w:t>Direktīvas Nr. 2019/2034 62.panta 13.punkta prasīb</w:t>
            </w:r>
            <w:r>
              <w:rPr>
                <w:rFonts w:ascii="Times New Roman" w:hAnsi="Times New Roman" w:cs="Times New Roman"/>
                <w:sz w:val="20"/>
                <w:szCs w:val="20"/>
              </w:rPr>
              <w:t xml:space="preserve">u, kura ietver atsauci uz sankcijām, kuras piemērojamas, ja ieguldījumu </w:t>
            </w:r>
            <w:r>
              <w:rPr>
                <w:rFonts w:ascii="Times New Roman" w:hAnsi="Times New Roman" w:cs="Times New Roman"/>
                <w:sz w:val="20"/>
                <w:szCs w:val="20"/>
              </w:rPr>
              <w:lastRenderedPageBreak/>
              <w:t>brokeru sabiedrības sniedz pakalpojumus bez kredītiestādes licence(atļaujas) saskaņā ar likumprojekta 2.pantu (11.</w:t>
            </w:r>
            <w:r w:rsidRPr="00922B43">
              <w:rPr>
                <w:rFonts w:ascii="Times New Roman" w:hAnsi="Times New Roman" w:cs="Times New Roman"/>
                <w:sz w:val="20"/>
                <w:szCs w:val="20"/>
                <w:vertAlign w:val="superscript"/>
              </w:rPr>
              <w:t>2</w:t>
            </w:r>
            <w:r>
              <w:rPr>
                <w:rFonts w:ascii="Times New Roman" w:hAnsi="Times New Roman" w:cs="Times New Roman"/>
                <w:sz w:val="20"/>
                <w:szCs w:val="20"/>
              </w:rPr>
              <w:t xml:space="preserve"> pantu).</w:t>
            </w:r>
          </w:p>
          <w:p w14:paraId="2E4B140E" w14:textId="690C6A01" w:rsidR="00856C0E" w:rsidRPr="00922B43" w:rsidRDefault="00856C0E" w:rsidP="00856C0E">
            <w:pPr>
              <w:spacing w:after="0" w:line="240" w:lineRule="auto"/>
              <w:jc w:val="both"/>
              <w:rPr>
                <w:bCs/>
              </w:rPr>
            </w:pPr>
            <w:r>
              <w:rPr>
                <w:rFonts w:ascii="Times New Roman" w:hAnsi="Times New Roman" w:cs="Times New Roman"/>
                <w:bCs/>
                <w:sz w:val="20"/>
                <w:szCs w:val="20"/>
              </w:rPr>
              <w:t>Papildus</w:t>
            </w:r>
            <w:r w:rsidRPr="00922B43">
              <w:rPr>
                <w:rFonts w:ascii="Times New Roman" w:hAnsi="Times New Roman" w:cs="Times New Roman"/>
                <w:bCs/>
                <w:sz w:val="20"/>
                <w:szCs w:val="20"/>
              </w:rPr>
              <w:t xml:space="preserve"> uzsverams, ka paliek atvērts jautājums diskusijām par sodoša rakstura administratīvo sankciju regulējumu finanšu tirgus jomā, kā arī par to iekļaušanu administratīvās atbildības sistēmā, ņemot vērā to, ka normatīvajam regulējumam konkrētā jomā būtu jāevolucionē līdz ar sistēmiskām izmaiņām administratīvās atbildības regulējumā. Līdz ar to būtu nepieciešami skaidri kritēriji, kā identificēt administratīvajai atbildībai līdzīgus piespiedu ietekmēšanas līdzekļus, kas saskaņā ar Tieslietu ministrijas sniegto informāciju, tiek gatavoti un iekļauti informatīvajā ziņojumā kopā ar izvērtējumu, kādi materiālie un procesuālie priekšnoteikumi nodrošināmi šādu piespiedu līdzekļu piemērošanas procesā, un izvērtējumu par iespējamību izveidot vienotu administratīvās atbildības sistēmas normatīvo regulējumu.</w:t>
            </w:r>
          </w:p>
        </w:tc>
        <w:tc>
          <w:tcPr>
            <w:tcW w:w="936" w:type="pct"/>
            <w:tcBorders>
              <w:top w:val="single" w:sz="4" w:space="0" w:color="auto"/>
              <w:left w:val="single" w:sz="4" w:space="0" w:color="auto"/>
              <w:bottom w:val="single" w:sz="4" w:space="0" w:color="auto"/>
              <w:right w:val="single" w:sz="4" w:space="0" w:color="auto"/>
            </w:tcBorders>
          </w:tcPr>
          <w:p w14:paraId="5383FEE9" w14:textId="77777777" w:rsidR="00856C0E" w:rsidRPr="00490E0E" w:rsidRDefault="00856C0E" w:rsidP="00856C0E">
            <w:pPr>
              <w:pStyle w:val="ListParagraph"/>
              <w:shd w:val="clear" w:color="auto" w:fill="FFFFFF"/>
              <w:spacing w:line="240" w:lineRule="auto"/>
              <w:ind w:left="0"/>
              <w:contextualSpacing w:val="0"/>
              <w:jc w:val="both"/>
              <w:rPr>
                <w:rFonts w:ascii="Times New Roman" w:hAnsi="Times New Roman" w:cs="Times New Roman"/>
                <w:color w:val="000000"/>
                <w:sz w:val="20"/>
                <w:szCs w:val="20"/>
                <w:lang w:eastAsia="lv-LV"/>
              </w:rPr>
            </w:pPr>
            <w:r w:rsidRPr="00490E0E">
              <w:rPr>
                <w:rFonts w:ascii="Times New Roman" w:hAnsi="Times New Roman" w:cs="Times New Roman"/>
                <w:sz w:val="20"/>
                <w:szCs w:val="20"/>
              </w:rPr>
              <w:lastRenderedPageBreak/>
              <w:t>Papildināt 198.pantu ar divpadsmito daļu šādā redakcijā:</w:t>
            </w:r>
          </w:p>
          <w:p w14:paraId="09D70578" w14:textId="77777777" w:rsidR="00856C0E" w:rsidRPr="00490E0E" w:rsidRDefault="00856C0E" w:rsidP="00856C0E">
            <w:pPr>
              <w:shd w:val="clear" w:color="auto" w:fill="FFFFFF"/>
              <w:jc w:val="both"/>
              <w:rPr>
                <w:rFonts w:ascii="Times New Roman" w:hAnsi="Times New Roman" w:cs="Times New Roman"/>
                <w:noProof/>
                <w:sz w:val="20"/>
                <w:szCs w:val="20"/>
              </w:rPr>
            </w:pPr>
            <w:r w:rsidRPr="00490E0E">
              <w:rPr>
                <w:rFonts w:ascii="Times New Roman" w:hAnsi="Times New Roman" w:cs="Times New Roman"/>
                <w:noProof/>
                <w:sz w:val="20"/>
                <w:szCs w:val="20"/>
              </w:rPr>
              <w:t>“(12) Par pakalpojumu sniegšanu bez kredītiestādes licences (atļaujas), kas izsniegta saskaņā ar šā likuma 11.</w:t>
            </w:r>
            <w:r w:rsidRPr="00490E0E">
              <w:rPr>
                <w:rFonts w:ascii="Times New Roman" w:hAnsi="Times New Roman" w:cs="Times New Roman"/>
                <w:noProof/>
                <w:sz w:val="20"/>
                <w:szCs w:val="20"/>
                <w:vertAlign w:val="superscript"/>
              </w:rPr>
              <w:t>2</w:t>
            </w:r>
            <w:r w:rsidRPr="00490E0E">
              <w:rPr>
                <w:rFonts w:ascii="Times New Roman" w:hAnsi="Times New Roman" w:cs="Times New Roman"/>
                <w:noProof/>
                <w:sz w:val="20"/>
                <w:szCs w:val="20"/>
              </w:rPr>
              <w:t xml:space="preserve"> pantā noteikto, Finanšu un kapitāla tirgus komisija ir tiesīga piemērot šā panta desmitajā daļā noteiktās sankcijas.”.  </w:t>
            </w:r>
          </w:p>
          <w:p w14:paraId="18F97163" w14:textId="77777777" w:rsidR="00856C0E" w:rsidRDefault="00856C0E" w:rsidP="00856C0E">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Papildināts anotācijas I sadaļas 2.punkts:</w:t>
            </w:r>
          </w:p>
          <w:p w14:paraId="347F9D8F" w14:textId="77777777" w:rsidR="00856C0E" w:rsidRPr="00012050" w:rsidRDefault="00856C0E" w:rsidP="00856C0E">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w:t>
            </w:r>
            <w:r w:rsidRPr="00012050">
              <w:rPr>
                <w:rFonts w:ascii="Times New Roman" w:eastAsia="Times New Roman" w:hAnsi="Times New Roman" w:cs="Times New Roman"/>
                <w:sz w:val="20"/>
              </w:rPr>
              <w:t>Minētā tiesību norma paredz piemērot Kredītiestāžu likuma 198.panta demitās daļas sankcijas, proti:</w:t>
            </w:r>
          </w:p>
          <w:p w14:paraId="1ECC5270" w14:textId="77777777" w:rsidR="00856C0E" w:rsidRPr="00012050" w:rsidRDefault="00856C0E" w:rsidP="00856C0E">
            <w:pPr>
              <w:pStyle w:val="ListParagraph"/>
              <w:numPr>
                <w:ilvl w:val="0"/>
                <w:numId w:val="18"/>
              </w:numPr>
              <w:tabs>
                <w:tab w:val="left" w:pos="3822"/>
              </w:tabs>
              <w:spacing w:after="0" w:line="240" w:lineRule="auto"/>
              <w:jc w:val="both"/>
              <w:rPr>
                <w:rFonts w:ascii="Times New Roman" w:eastAsia="Times New Roman" w:hAnsi="Times New Roman" w:cs="Times New Roman"/>
                <w:sz w:val="20"/>
              </w:rPr>
            </w:pPr>
            <w:r w:rsidRPr="00012050">
              <w:rPr>
                <w:rFonts w:ascii="Times New Roman" w:eastAsia="Times New Roman" w:hAnsi="Times New Roman" w:cs="Times New Roman"/>
                <w:sz w:val="20"/>
              </w:rPr>
              <w:t>uzlikt juridiskajai personai soda naudu līdz 10 procentiem no iepriekšējā finanšu gada neto ienākumu summas, kas atbilst summai, kuru saskaņā ar ES regulu Nr. </w:t>
            </w:r>
            <w:hyperlink r:id="rId12" w:tgtFrame="_blank" w:history="1">
              <w:r w:rsidRPr="00012050">
                <w:rPr>
                  <w:rFonts w:ascii="Times New Roman" w:eastAsia="Times New Roman" w:hAnsi="Times New Roman" w:cs="Times New Roman"/>
                  <w:sz w:val="20"/>
                </w:rPr>
                <w:t>575/2013</w:t>
              </w:r>
            </w:hyperlink>
            <w:r w:rsidRPr="00012050">
              <w:rPr>
                <w:rFonts w:ascii="Times New Roman" w:eastAsia="Times New Roman" w:hAnsi="Times New Roman" w:cs="Times New Roman"/>
                <w:sz w:val="20"/>
              </w:rPr>
              <w:t xml:space="preserve"> izmanto, lai aprēķinātu operacionālā riska pašu kapitāla prasību saskaņā ar pamatrādītāja pieeju; </w:t>
            </w:r>
          </w:p>
          <w:p w14:paraId="1F836436" w14:textId="77777777" w:rsidR="00856C0E" w:rsidRPr="00012050" w:rsidRDefault="00856C0E" w:rsidP="00856C0E">
            <w:pPr>
              <w:pStyle w:val="ListParagraph"/>
              <w:numPr>
                <w:ilvl w:val="0"/>
                <w:numId w:val="18"/>
              </w:numPr>
              <w:tabs>
                <w:tab w:val="left" w:pos="3822"/>
              </w:tabs>
              <w:spacing w:after="0" w:line="240" w:lineRule="auto"/>
              <w:jc w:val="both"/>
              <w:rPr>
                <w:rFonts w:ascii="Times New Roman" w:eastAsia="Times New Roman" w:hAnsi="Times New Roman" w:cs="Times New Roman"/>
                <w:sz w:val="20"/>
              </w:rPr>
            </w:pPr>
            <w:r w:rsidRPr="00012050">
              <w:rPr>
                <w:rFonts w:ascii="Times New Roman" w:eastAsia="Times New Roman" w:hAnsi="Times New Roman" w:cs="Times New Roman"/>
                <w:sz w:val="20"/>
              </w:rPr>
              <w:t xml:space="preserve">uzlikt amatpersonai, darbiniekam vai personai, kura pārkāpuma izdarīšanas laikā ir atbildīga par noteiktas darbības veikšanu kredītiestādes uzdevumā vai interesēs, soda naudu līdz pieciem miljoniem euro; </w:t>
            </w:r>
          </w:p>
          <w:p w14:paraId="0EA83713" w14:textId="77777777" w:rsidR="00856C0E" w:rsidRPr="00012050" w:rsidRDefault="00856C0E" w:rsidP="00856C0E">
            <w:pPr>
              <w:pStyle w:val="ListParagraph"/>
              <w:numPr>
                <w:ilvl w:val="0"/>
                <w:numId w:val="18"/>
              </w:numPr>
              <w:tabs>
                <w:tab w:val="left" w:pos="3822"/>
              </w:tabs>
              <w:spacing w:after="0" w:line="240" w:lineRule="auto"/>
              <w:jc w:val="both"/>
              <w:rPr>
                <w:rFonts w:ascii="Times New Roman" w:eastAsia="Times New Roman" w:hAnsi="Times New Roman" w:cs="Times New Roman"/>
                <w:sz w:val="20"/>
              </w:rPr>
            </w:pPr>
            <w:r w:rsidRPr="00012050">
              <w:rPr>
                <w:rFonts w:ascii="Times New Roman" w:eastAsia="Times New Roman" w:hAnsi="Times New Roman" w:cs="Times New Roman"/>
                <w:sz w:val="20"/>
              </w:rPr>
              <w:t>uzlikt soda naudu līdz pārkāpuma rezultātā gūto ienākumu vai novērsto iespējamo zaudējumu divkāršam apmēram.</w:t>
            </w:r>
          </w:p>
          <w:p w14:paraId="66558401" w14:textId="77777777" w:rsidR="00856C0E" w:rsidRPr="0003610D" w:rsidRDefault="00856C0E" w:rsidP="00856C0E">
            <w:pPr>
              <w:autoSpaceDE w:val="0"/>
              <w:autoSpaceDN w:val="0"/>
              <w:adjustRightInd w:val="0"/>
              <w:jc w:val="both"/>
              <w:rPr>
                <w:noProof/>
                <w:color w:val="000000"/>
                <w:spacing w:val="-2"/>
              </w:rPr>
            </w:pPr>
            <w:r w:rsidRPr="00012050">
              <w:rPr>
                <w:rFonts w:ascii="Times New Roman" w:eastAsia="Times New Roman" w:hAnsi="Times New Roman" w:cs="Times New Roman"/>
                <w:sz w:val="20"/>
              </w:rPr>
              <w:t xml:space="preserve">Minētās sankcijas piemērojamas, ņemot vērā Finanšu un kapitāla tirgus komisijas likuma 17.1 pantā noteikto, proti, pieņemot lēmumu par sankciju piemērošanu personām, kuras pārkāpušas finanšu un kapitāla tirgu regulējošos normatīvos aktus, Finanšu un kapitāla tirgus komisija ņem vērā: pārkāpuma smagumu, pārkāpuma ilgumu, personas atbildības pakāpi, pārkāpuma rezultātā personas gūtos </w:t>
            </w:r>
            <w:r w:rsidRPr="00012050">
              <w:rPr>
                <w:rFonts w:ascii="Times New Roman" w:eastAsia="Times New Roman" w:hAnsi="Times New Roman" w:cs="Times New Roman"/>
                <w:sz w:val="20"/>
              </w:rPr>
              <w:lastRenderedPageBreak/>
              <w:t>ienākumus, pārkāpuma rezultātā radīto zaudējumu atlīdzināšanu, personas sadarbību pārkāpuma pārbaudē, personas pieredzi finanšu un kapitāla tirgū, personas finansiālo stāvokli un personas iepriekš izdarītos pārkāpumus finanšu un kapitāla tirgū.</w:t>
            </w:r>
            <w:r>
              <w:rPr>
                <w:rFonts w:ascii="Times New Roman" w:eastAsia="Times New Roman" w:hAnsi="Times New Roman" w:cs="Times New Roman"/>
                <w:sz w:val="20"/>
              </w:rPr>
              <w:t xml:space="preserve"> </w:t>
            </w:r>
            <w:r w:rsidRPr="0003610D">
              <w:rPr>
                <w:rFonts w:ascii="Times New Roman" w:hAnsi="Times New Roman" w:cs="Times New Roman"/>
                <w:bCs/>
                <w:sz w:val="20"/>
                <w:szCs w:val="20"/>
              </w:rPr>
              <w:t>Likumprojekta 5.pantā tiek pārņemta Direktīvas Nr. 2019/2034 62.panta 13.punkta prasība, proti, minētā prasība izriet no grozījumiem Eiropas Parlamenta un Padomes 2013.gada 26.jūnija Direktīvā Nr. 2013/36/ES par piekļuvi kredītiestāžu darbībai un kredītiestāžu un ieguldījumu brokeru sabiedrību prudenciālo uzraudzību, ar ko groza Direktīvu 2002/87/EK un atceļ Direktīvas 2006/48/EK un 2006/49/EK 66.pantā, kura 2.punkts ietver Kredītiestāžu likuma 198.panta desmitajā daļā noteiktās sankcijas.</w:t>
            </w:r>
            <w:r w:rsidRPr="00012050">
              <w:rPr>
                <w:rFonts w:ascii="Times New Roman" w:eastAsia="Times New Roman" w:hAnsi="Times New Roman" w:cs="Times New Roman"/>
                <w:sz w:val="20"/>
              </w:rPr>
              <w:t>”.</w:t>
            </w:r>
          </w:p>
          <w:p w14:paraId="114D302F" w14:textId="66811ECF" w:rsidR="00856C0E" w:rsidRPr="00184920" w:rsidRDefault="00856C0E" w:rsidP="00856C0E">
            <w:pPr>
              <w:shd w:val="clear" w:color="auto" w:fill="FFFFFF"/>
              <w:jc w:val="both"/>
              <w:rPr>
                <w:rFonts w:ascii="Times New Roman" w:eastAsia="Times New Roman" w:hAnsi="Times New Roman" w:cs="Times New Roman"/>
                <w:sz w:val="20"/>
                <w:szCs w:val="20"/>
                <w:lang w:eastAsia="lv-LV"/>
              </w:rPr>
            </w:pPr>
          </w:p>
        </w:tc>
      </w:tr>
      <w:tr w:rsidR="00856C0E" w:rsidRPr="00184920" w14:paraId="213606C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4136BCC" w14:textId="7F827E35" w:rsidR="00856C0E" w:rsidRPr="00184920" w:rsidRDefault="00856C0E" w:rsidP="00856C0E">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8.</w:t>
            </w:r>
          </w:p>
        </w:tc>
        <w:tc>
          <w:tcPr>
            <w:tcW w:w="692" w:type="pct"/>
            <w:tcBorders>
              <w:top w:val="single" w:sz="6" w:space="0" w:color="000000"/>
              <w:left w:val="single" w:sz="6" w:space="0" w:color="000000"/>
              <w:bottom w:val="single" w:sz="6" w:space="0" w:color="000000"/>
              <w:right w:val="single" w:sz="6" w:space="0" w:color="000000"/>
            </w:tcBorders>
          </w:tcPr>
          <w:p w14:paraId="381B43FB" w14:textId="77777777" w:rsidR="00856C0E" w:rsidRPr="00184920" w:rsidRDefault="00856C0E" w:rsidP="00856C0E">
            <w:pPr>
              <w:spacing w:after="0" w:line="240" w:lineRule="auto"/>
              <w:rPr>
                <w:rFonts w:ascii="Times New Roman" w:eastAsia="Times New Roman" w:hAnsi="Times New Roman" w:cs="Times New Roman"/>
                <w:sz w:val="20"/>
                <w:lang w:eastAsia="lv-LV"/>
              </w:rPr>
            </w:pPr>
          </w:p>
        </w:tc>
        <w:tc>
          <w:tcPr>
            <w:tcW w:w="1309" w:type="pct"/>
            <w:tcBorders>
              <w:top w:val="single" w:sz="6" w:space="0" w:color="000000"/>
              <w:left w:val="single" w:sz="6" w:space="0" w:color="000000"/>
              <w:bottom w:val="single" w:sz="6" w:space="0" w:color="000000"/>
              <w:right w:val="single" w:sz="6" w:space="0" w:color="000000"/>
            </w:tcBorders>
          </w:tcPr>
          <w:p w14:paraId="6D753EF9" w14:textId="77777777" w:rsidR="00856C0E" w:rsidRPr="004A334A" w:rsidRDefault="00856C0E" w:rsidP="00856C0E">
            <w:pPr>
              <w:pStyle w:val="NormalWeb"/>
              <w:ind w:right="13"/>
              <w:jc w:val="both"/>
              <w:rPr>
                <w:sz w:val="20"/>
                <w:szCs w:val="20"/>
              </w:rPr>
            </w:pPr>
            <w:r w:rsidRPr="004A334A">
              <w:rPr>
                <w:b/>
                <w:sz w:val="20"/>
                <w:szCs w:val="20"/>
              </w:rPr>
              <w:t xml:space="preserve">Iebildums. </w:t>
            </w:r>
            <w:r w:rsidRPr="004A334A">
              <w:rPr>
                <w:sz w:val="20"/>
                <w:szCs w:val="20"/>
              </w:rPr>
              <w:t xml:space="preserve">Anotācijas kopsavilkumā ir norādīts, ka Likumprojekta mērķis ir saskaņot Likuma normas ar likumprojekta "Ieguldījumu brokeru sabiedrību likums" normām, lai nodrošinātu tiesību sistēmas saskaņotību un pārņemtu Direktīvas 2019/2034 prasības. Vienlaikus Likumprojektā nav noteikts, ka kādas no tā normām stājas spēkā vienlaikus ar likumprojektu "Ieguldījumu brokeru sabiedrību likums". Anotācijas IV sadaļas 1. punktā norādīts, ka Likumprojekts Ministru kabinetā un Saeimā izskatāms vienlaicīgi ar likumprojektu "Ieguldījumu brokeru sabiedrību likums" un citiem ar to saistītajiem likumprojektiem. Vēršam uzmanību uz to, ka vairāku </w:t>
            </w:r>
            <w:r w:rsidRPr="004A334A">
              <w:rPr>
                <w:sz w:val="20"/>
                <w:szCs w:val="20"/>
              </w:rPr>
              <w:lastRenderedPageBreak/>
              <w:t xml:space="preserve">saistītu likumprojektu izskatīšana vienlaicīgi nenodrošina, ka tie arī stāsies spēkā vienlaicīgi. </w:t>
            </w:r>
          </w:p>
          <w:p w14:paraId="090BC9FB" w14:textId="45FDB983" w:rsidR="00856C0E" w:rsidRPr="00184920" w:rsidRDefault="00856C0E" w:rsidP="00856C0E">
            <w:pPr>
              <w:spacing w:after="0" w:line="240" w:lineRule="auto"/>
              <w:jc w:val="both"/>
              <w:rPr>
                <w:rFonts w:ascii="Times New Roman" w:eastAsia="Times New Roman" w:hAnsi="Times New Roman" w:cs="Times New Roman"/>
                <w:sz w:val="20"/>
                <w:szCs w:val="20"/>
                <w:lang w:eastAsia="lv-LV"/>
              </w:rPr>
            </w:pPr>
            <w:r w:rsidRPr="004A334A">
              <w:rPr>
                <w:rFonts w:ascii="Times New Roman" w:hAnsi="Times New Roman" w:cs="Times New Roman"/>
                <w:sz w:val="20"/>
                <w:szCs w:val="20"/>
              </w:rPr>
              <w:t>Ņemot vērā minēto, lūdzam papildināt Likumprojektu, nosakot, kuras Likumprojekta normas stāsies spēkā vienlaikus ar likumprojektu "Ieguldījumu brokeru sabiedrību likums". Turklāt lūdzam papildināt Anotāciju ar skaidrojumu par to, kuras Likumprojektā paredzētās Likuma normas ir saskaņotas ar likumprojekta "Ieguldījumu brokeru sabiedrību likums" normām.</w:t>
            </w:r>
          </w:p>
        </w:tc>
        <w:tc>
          <w:tcPr>
            <w:tcW w:w="848" w:type="pct"/>
            <w:gridSpan w:val="2"/>
            <w:tcBorders>
              <w:top w:val="single" w:sz="6" w:space="0" w:color="000000"/>
              <w:left w:val="single" w:sz="6" w:space="0" w:color="000000"/>
              <w:bottom w:val="single" w:sz="6" w:space="0" w:color="000000"/>
              <w:right w:val="single" w:sz="6" w:space="0" w:color="000000"/>
            </w:tcBorders>
          </w:tcPr>
          <w:p w14:paraId="245054D6" w14:textId="7077B562" w:rsidR="00856C0E" w:rsidRPr="00184920" w:rsidRDefault="00856C0E" w:rsidP="00856C0E">
            <w:pPr>
              <w:spacing w:after="0" w:line="240" w:lineRule="auto"/>
              <w:jc w:val="both"/>
              <w:rPr>
                <w:rFonts w:ascii="Times New Roman" w:eastAsia="Times New Roman" w:hAnsi="Times New Roman" w:cs="Times New Roman"/>
                <w:sz w:val="20"/>
                <w:szCs w:val="20"/>
                <w:lang w:eastAsia="lv-LV"/>
              </w:rPr>
            </w:pPr>
            <w:r w:rsidRPr="00490E0E">
              <w:rPr>
                <w:rFonts w:ascii="Times New Roman" w:hAnsi="Times New Roman" w:cs="Times New Roman"/>
                <w:b/>
                <w:sz w:val="20"/>
                <w:szCs w:val="20"/>
              </w:rPr>
              <w:lastRenderedPageBreak/>
              <w:t xml:space="preserve">Iebildums ņemts vērā. </w:t>
            </w:r>
            <w:r w:rsidRPr="00490E0E">
              <w:rPr>
                <w:rFonts w:ascii="Times New Roman" w:hAnsi="Times New Roman" w:cs="Times New Roman"/>
                <w:noProof/>
                <w:spacing w:val="-2"/>
                <w:sz w:val="20"/>
                <w:szCs w:val="20"/>
              </w:rPr>
              <w:t>Likumprojekts papildināts ar norādi par tā spēkā stāšanos.</w:t>
            </w:r>
          </w:p>
        </w:tc>
        <w:tc>
          <w:tcPr>
            <w:tcW w:w="936" w:type="pct"/>
            <w:tcBorders>
              <w:top w:val="single" w:sz="4" w:space="0" w:color="auto"/>
              <w:left w:val="single" w:sz="4" w:space="0" w:color="auto"/>
              <w:bottom w:val="single" w:sz="4" w:space="0" w:color="auto"/>
              <w:right w:val="single" w:sz="4" w:space="0" w:color="auto"/>
            </w:tcBorders>
          </w:tcPr>
          <w:p w14:paraId="2233F208" w14:textId="77777777" w:rsidR="00856C0E" w:rsidRPr="001C5851" w:rsidRDefault="00856C0E" w:rsidP="00856C0E">
            <w:pPr>
              <w:spacing w:after="0" w:line="240" w:lineRule="auto"/>
              <w:jc w:val="both"/>
              <w:rPr>
                <w:rFonts w:ascii="Times New Roman" w:hAnsi="Times New Roman" w:cs="Times New Roman"/>
                <w:noProof/>
                <w:spacing w:val="-2"/>
                <w:sz w:val="20"/>
                <w:szCs w:val="20"/>
              </w:rPr>
            </w:pPr>
            <w:r w:rsidRPr="001C5851">
              <w:rPr>
                <w:rFonts w:ascii="Times New Roman" w:hAnsi="Times New Roman" w:cs="Times New Roman"/>
                <w:noProof/>
                <w:spacing w:val="-2"/>
                <w:sz w:val="20"/>
                <w:szCs w:val="20"/>
              </w:rPr>
              <w:t>Papildināts likumprojekts:</w:t>
            </w:r>
          </w:p>
          <w:p w14:paraId="7EB85F10" w14:textId="77777777" w:rsidR="00856C0E" w:rsidRDefault="00856C0E" w:rsidP="00856C0E">
            <w:pPr>
              <w:spacing w:after="0" w:line="240" w:lineRule="auto"/>
              <w:jc w:val="both"/>
              <w:rPr>
                <w:rFonts w:ascii="Times New Roman" w:hAnsi="Times New Roman" w:cs="Times New Roman"/>
                <w:noProof/>
                <w:spacing w:val="-2"/>
                <w:sz w:val="20"/>
                <w:szCs w:val="20"/>
              </w:rPr>
            </w:pPr>
            <w:r w:rsidRPr="001C5851">
              <w:rPr>
                <w:rFonts w:ascii="Times New Roman" w:hAnsi="Times New Roman" w:cs="Times New Roman"/>
                <w:noProof/>
                <w:spacing w:val="-2"/>
                <w:sz w:val="20"/>
                <w:szCs w:val="20"/>
              </w:rPr>
              <w:t>“Likums stājas spēkā vienlaikus ar Ieguldījumu brokeru sabiedrību likumu”.</w:t>
            </w:r>
          </w:p>
          <w:p w14:paraId="36645390" w14:textId="77777777" w:rsidR="00856C0E" w:rsidRDefault="00856C0E" w:rsidP="00856C0E">
            <w:pPr>
              <w:spacing w:after="0" w:line="240" w:lineRule="auto"/>
              <w:jc w:val="both"/>
              <w:rPr>
                <w:rFonts w:ascii="Times New Roman" w:eastAsia="Times New Roman" w:hAnsi="Times New Roman" w:cs="Times New Roman"/>
                <w:noProof/>
                <w:spacing w:val="-2"/>
                <w:sz w:val="20"/>
                <w:szCs w:val="20"/>
                <w:lang w:eastAsia="lv-LV"/>
              </w:rPr>
            </w:pPr>
          </w:p>
          <w:p w14:paraId="365DCB30" w14:textId="77777777" w:rsidR="00856C0E" w:rsidRDefault="00856C0E" w:rsidP="00856C0E">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Precizēts anotācijas kopsavilkums:</w:t>
            </w:r>
          </w:p>
          <w:p w14:paraId="5162B42D" w14:textId="77777777" w:rsidR="00856C0E" w:rsidRDefault="00856C0E" w:rsidP="00856C0E">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“Likumprojekts stāsies spēkā vienlaikus ar likumprojektu “Ieguldījumu brokeru sabiedrību likums”.”</w:t>
            </w:r>
          </w:p>
          <w:p w14:paraId="6B760B7C" w14:textId="77777777" w:rsidR="00856C0E" w:rsidRDefault="00856C0E" w:rsidP="00856C0E">
            <w:pPr>
              <w:spacing w:after="0" w:line="240" w:lineRule="auto"/>
              <w:jc w:val="both"/>
              <w:rPr>
                <w:rFonts w:ascii="Times New Roman" w:eastAsia="Times New Roman" w:hAnsi="Times New Roman" w:cs="Times New Roman"/>
                <w:sz w:val="20"/>
                <w:lang w:eastAsia="lv-LV"/>
              </w:rPr>
            </w:pPr>
          </w:p>
          <w:p w14:paraId="3E5B9B70" w14:textId="77777777" w:rsidR="00856C0E" w:rsidRDefault="00856C0E" w:rsidP="00856C0E">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Papildināts anotācijas IV sadaļas 1.punkts:</w:t>
            </w:r>
          </w:p>
          <w:p w14:paraId="38D3677D" w14:textId="07DE86B5" w:rsidR="00856C0E" w:rsidRPr="00184920" w:rsidRDefault="00856C0E" w:rsidP="00856C0E">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lang w:eastAsia="lv-LV"/>
              </w:rPr>
              <w:lastRenderedPageBreak/>
              <w:t>“</w:t>
            </w:r>
            <w:r>
              <w:rPr>
                <w:rFonts w:ascii="Times New Roman" w:eastAsia="Times New Roman" w:hAnsi="Times New Roman" w:cs="Times New Roman"/>
                <w:sz w:val="20"/>
              </w:rPr>
              <w:t>Likumprojekts stāsies spēkā vienlaikus ar likumprojektu “Ieguldījumu brokeru sabiedrību likums”.”</w:t>
            </w:r>
          </w:p>
        </w:tc>
      </w:tr>
      <w:tr w:rsidR="00856C0E"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856C0E" w:rsidRDefault="00856C0E" w:rsidP="00856C0E">
            <w:pPr>
              <w:spacing w:after="0" w:line="240" w:lineRule="auto"/>
              <w:rPr>
                <w:rFonts w:ascii="Times New Roman" w:eastAsia="Times New Roman" w:hAnsi="Times New Roman" w:cs="Times New Roman"/>
                <w:sz w:val="20"/>
                <w:lang w:eastAsia="lv-LV"/>
              </w:rPr>
            </w:pPr>
          </w:p>
          <w:p w14:paraId="71738BD1" w14:textId="05AF93C3" w:rsidR="00856C0E" w:rsidRPr="00184920" w:rsidRDefault="00856C0E" w:rsidP="00856C0E">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856C0E" w:rsidRPr="00184920" w:rsidRDefault="00856C0E" w:rsidP="00856C0E">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856C0E" w:rsidRPr="00184920" w:rsidRDefault="00856C0E" w:rsidP="00856C0E">
            <w:pPr>
              <w:spacing w:after="0" w:line="240" w:lineRule="auto"/>
              <w:rPr>
                <w:rFonts w:ascii="Times New Roman" w:eastAsia="Calibri" w:hAnsi="Times New Roman" w:cs="Times New Roman"/>
                <w:sz w:val="20"/>
                <w:lang w:eastAsia="lv-LV"/>
              </w:rPr>
            </w:pPr>
          </w:p>
        </w:tc>
        <w:tc>
          <w:tcPr>
            <w:tcW w:w="874" w:type="pct"/>
          </w:tcPr>
          <w:p w14:paraId="5CE0F9B5" w14:textId="77777777" w:rsidR="00856C0E" w:rsidRPr="00184920" w:rsidRDefault="00856C0E" w:rsidP="00856C0E">
            <w:pPr>
              <w:spacing w:after="0" w:line="240" w:lineRule="auto"/>
              <w:jc w:val="center"/>
              <w:rPr>
                <w:rFonts w:ascii="Times New Roman" w:eastAsia="Times New Roman" w:hAnsi="Times New Roman" w:cs="Times New Roman"/>
                <w:sz w:val="20"/>
                <w:highlight w:val="yellow"/>
                <w:lang w:eastAsia="lv-LV"/>
              </w:rPr>
            </w:pPr>
          </w:p>
        </w:tc>
      </w:tr>
      <w:tr w:rsidR="00856C0E"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856C0E" w:rsidRPr="00184920" w:rsidRDefault="00856C0E" w:rsidP="00856C0E">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856C0E" w:rsidRPr="00184920" w:rsidRDefault="00856C0E" w:rsidP="00856C0E">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13"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14"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p w14:paraId="57C7BCA7"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15"/>
      <w:footerReference w:type="default" r:id="rId16"/>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12EC4" w14:textId="77777777" w:rsidR="00F66C0D" w:rsidRDefault="00F66C0D" w:rsidP="003A0F64">
      <w:pPr>
        <w:spacing w:after="0" w:line="240" w:lineRule="auto"/>
      </w:pPr>
      <w:r>
        <w:separator/>
      </w:r>
    </w:p>
  </w:endnote>
  <w:endnote w:type="continuationSeparator" w:id="0">
    <w:p w14:paraId="0D529106" w14:textId="77777777" w:rsidR="00F66C0D" w:rsidRDefault="00F66C0D"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5CADB588" w:rsidR="005A2D95" w:rsidRPr="00F66122" w:rsidRDefault="005A2D95"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sidR="002D610A">
      <w:rPr>
        <w:noProof/>
        <w:sz w:val="20"/>
        <w:lang w:val="lv-LV"/>
      </w:rPr>
      <w:t>28</w:t>
    </w:r>
    <w:r w:rsidR="0077218D">
      <w:rPr>
        <w:noProof/>
        <w:sz w:val="20"/>
        <w:lang w:val="lv-LV"/>
      </w:rPr>
      <w:t>07</w:t>
    </w:r>
    <w:r w:rsidR="00C9004D">
      <w:rPr>
        <w:noProof/>
        <w:sz w:val="20"/>
        <w:lang w:val="lv-LV"/>
      </w:rPr>
      <w:t>21_</w:t>
    </w:r>
    <w:r w:rsidR="009B51A8">
      <w:rPr>
        <w:noProof/>
        <w:sz w:val="20"/>
        <w:lang w:val="lv-LV"/>
      </w:rPr>
      <w:t>KIL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EFE3B" w14:textId="77777777" w:rsidR="00F66C0D" w:rsidRDefault="00F66C0D" w:rsidP="003A0F64">
      <w:pPr>
        <w:spacing w:after="0" w:line="240" w:lineRule="auto"/>
      </w:pPr>
      <w:r>
        <w:separator/>
      </w:r>
    </w:p>
  </w:footnote>
  <w:footnote w:type="continuationSeparator" w:id="0">
    <w:p w14:paraId="1E8532A4" w14:textId="77777777" w:rsidR="00F66C0D" w:rsidRDefault="00F66C0D" w:rsidP="003A0F64">
      <w:pPr>
        <w:spacing w:after="0" w:line="240" w:lineRule="auto"/>
      </w:pPr>
      <w:r>
        <w:continuationSeparator/>
      </w:r>
    </w:p>
  </w:footnote>
  <w:footnote w:id="1">
    <w:p w14:paraId="2111CE30" w14:textId="77777777" w:rsidR="00856C0E" w:rsidRDefault="00856C0E" w:rsidP="00856C0E">
      <w:pPr>
        <w:pStyle w:val="FootnoteText"/>
      </w:pPr>
      <w:r>
        <w:rPr>
          <w:rStyle w:val="FootnoteReference"/>
        </w:rPr>
        <w:footnoteRef/>
      </w:r>
      <w:r>
        <w:t xml:space="preserve"> Danovskis E. Sodu tiesību principu nozīme administratīvajās tiesībās. Grāmata: Autoru kolektīvs. Juridisko personu publiski tiesiskā atbildība. Rīga: LU Akadēmiskais apgāds, 2018, 139.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1A47A4AF" w:rsidR="005A2D95" w:rsidRDefault="005A2D95">
    <w:pPr>
      <w:pStyle w:val="Header"/>
      <w:jc w:val="center"/>
    </w:pPr>
    <w:r>
      <w:fldChar w:fldCharType="begin"/>
    </w:r>
    <w:r>
      <w:instrText xml:space="preserve"> PAGE   \* MERGEFORMAT </w:instrText>
    </w:r>
    <w:r>
      <w:fldChar w:fldCharType="separate"/>
    </w:r>
    <w:r w:rsidR="002D610A">
      <w:rPr>
        <w:noProof/>
      </w:rPr>
      <w:t>1</w:t>
    </w:r>
    <w:r>
      <w:rPr>
        <w:noProof/>
      </w:rPr>
      <w:fldChar w:fldCharType="end"/>
    </w:r>
  </w:p>
  <w:p w14:paraId="44BFB47B" w14:textId="77777777" w:rsidR="005A2D95" w:rsidRDefault="005A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D242874"/>
    <w:multiLevelType w:val="hybridMultilevel"/>
    <w:tmpl w:val="0414F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4F954879"/>
    <w:multiLevelType w:val="hybridMultilevel"/>
    <w:tmpl w:val="380C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16"/>
  </w:num>
  <w:num w:numId="5">
    <w:abstractNumId w:val="13"/>
  </w:num>
  <w:num w:numId="6">
    <w:abstractNumId w:val="10"/>
  </w:num>
  <w:num w:numId="7">
    <w:abstractNumId w:val="11"/>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9"/>
  </w:num>
  <w:num w:numId="11">
    <w:abstractNumId w:val="15"/>
  </w:num>
  <w:num w:numId="12">
    <w:abstractNumId w:val="0"/>
  </w:num>
  <w:num w:numId="13">
    <w:abstractNumId w:val="6"/>
  </w:num>
  <w:num w:numId="14">
    <w:abstractNumId w:val="5"/>
  </w:num>
  <w:num w:numId="15">
    <w:abstractNumId w:val="14"/>
  </w:num>
  <w:num w:numId="16">
    <w:abstractNumId w:val="4"/>
  </w:num>
  <w:num w:numId="17">
    <w:abstractNumId w:val="8"/>
  </w:num>
  <w:num w:numId="1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37B2"/>
    <w:rsid w:val="00004235"/>
    <w:rsid w:val="00006B72"/>
    <w:rsid w:val="000076BF"/>
    <w:rsid w:val="00010C2D"/>
    <w:rsid w:val="00012050"/>
    <w:rsid w:val="00013FAE"/>
    <w:rsid w:val="00014318"/>
    <w:rsid w:val="00015B53"/>
    <w:rsid w:val="0001655E"/>
    <w:rsid w:val="00016DB6"/>
    <w:rsid w:val="0001736A"/>
    <w:rsid w:val="000173D9"/>
    <w:rsid w:val="00020398"/>
    <w:rsid w:val="00020499"/>
    <w:rsid w:val="00020ECF"/>
    <w:rsid w:val="000216B7"/>
    <w:rsid w:val="00022A62"/>
    <w:rsid w:val="000238E4"/>
    <w:rsid w:val="000239F9"/>
    <w:rsid w:val="000255B2"/>
    <w:rsid w:val="00025B7C"/>
    <w:rsid w:val="000265A7"/>
    <w:rsid w:val="0002684F"/>
    <w:rsid w:val="000309AE"/>
    <w:rsid w:val="00031382"/>
    <w:rsid w:val="00031546"/>
    <w:rsid w:val="000319C4"/>
    <w:rsid w:val="000331E7"/>
    <w:rsid w:val="00033286"/>
    <w:rsid w:val="00033B9E"/>
    <w:rsid w:val="00035669"/>
    <w:rsid w:val="0003610D"/>
    <w:rsid w:val="000413EB"/>
    <w:rsid w:val="000417B1"/>
    <w:rsid w:val="0004185E"/>
    <w:rsid w:val="000440AD"/>
    <w:rsid w:val="00044557"/>
    <w:rsid w:val="00045B37"/>
    <w:rsid w:val="00045C75"/>
    <w:rsid w:val="00047E7B"/>
    <w:rsid w:val="0005115E"/>
    <w:rsid w:val="00051883"/>
    <w:rsid w:val="0005387B"/>
    <w:rsid w:val="000544C0"/>
    <w:rsid w:val="00054B74"/>
    <w:rsid w:val="000556D5"/>
    <w:rsid w:val="000565A6"/>
    <w:rsid w:val="0005797F"/>
    <w:rsid w:val="00062272"/>
    <w:rsid w:val="00062702"/>
    <w:rsid w:val="00063B77"/>
    <w:rsid w:val="000657C1"/>
    <w:rsid w:val="000661D9"/>
    <w:rsid w:val="000666FF"/>
    <w:rsid w:val="00067911"/>
    <w:rsid w:val="00070EA0"/>
    <w:rsid w:val="0007183A"/>
    <w:rsid w:val="0007212A"/>
    <w:rsid w:val="00072558"/>
    <w:rsid w:val="0007292A"/>
    <w:rsid w:val="00073EA9"/>
    <w:rsid w:val="00075666"/>
    <w:rsid w:val="000757A0"/>
    <w:rsid w:val="00076752"/>
    <w:rsid w:val="00081ABA"/>
    <w:rsid w:val="000821FA"/>
    <w:rsid w:val="000824E5"/>
    <w:rsid w:val="00082A4B"/>
    <w:rsid w:val="00082C90"/>
    <w:rsid w:val="000831F5"/>
    <w:rsid w:val="0008413B"/>
    <w:rsid w:val="000850C8"/>
    <w:rsid w:val="00085B3E"/>
    <w:rsid w:val="00086627"/>
    <w:rsid w:val="000869D8"/>
    <w:rsid w:val="00086A01"/>
    <w:rsid w:val="000902C7"/>
    <w:rsid w:val="0009086D"/>
    <w:rsid w:val="00091A67"/>
    <w:rsid w:val="00092D7E"/>
    <w:rsid w:val="00094919"/>
    <w:rsid w:val="00094F0E"/>
    <w:rsid w:val="000966F8"/>
    <w:rsid w:val="00097F38"/>
    <w:rsid w:val="000A00C2"/>
    <w:rsid w:val="000A3B3C"/>
    <w:rsid w:val="000A4F3B"/>
    <w:rsid w:val="000A514A"/>
    <w:rsid w:val="000A58A5"/>
    <w:rsid w:val="000B1513"/>
    <w:rsid w:val="000B2084"/>
    <w:rsid w:val="000B3145"/>
    <w:rsid w:val="000B6293"/>
    <w:rsid w:val="000B7F63"/>
    <w:rsid w:val="000C04D5"/>
    <w:rsid w:val="000C0829"/>
    <w:rsid w:val="000C0E26"/>
    <w:rsid w:val="000C2916"/>
    <w:rsid w:val="000C2B97"/>
    <w:rsid w:val="000C3CDB"/>
    <w:rsid w:val="000C4A2F"/>
    <w:rsid w:val="000D1B4A"/>
    <w:rsid w:val="000D653D"/>
    <w:rsid w:val="000D6EBF"/>
    <w:rsid w:val="000E0B1D"/>
    <w:rsid w:val="000E1C18"/>
    <w:rsid w:val="000E1C58"/>
    <w:rsid w:val="000E3ACC"/>
    <w:rsid w:val="000E3ED8"/>
    <w:rsid w:val="000E6359"/>
    <w:rsid w:val="000E710D"/>
    <w:rsid w:val="000E792C"/>
    <w:rsid w:val="000E7970"/>
    <w:rsid w:val="000F0461"/>
    <w:rsid w:val="000F0474"/>
    <w:rsid w:val="000F161C"/>
    <w:rsid w:val="000F35F9"/>
    <w:rsid w:val="000F3FD7"/>
    <w:rsid w:val="000F4CDC"/>
    <w:rsid w:val="000F5839"/>
    <w:rsid w:val="000F5E06"/>
    <w:rsid w:val="000F6088"/>
    <w:rsid w:val="000F6D0F"/>
    <w:rsid w:val="000F7939"/>
    <w:rsid w:val="00100E0E"/>
    <w:rsid w:val="00102674"/>
    <w:rsid w:val="00102989"/>
    <w:rsid w:val="00106DE8"/>
    <w:rsid w:val="00107345"/>
    <w:rsid w:val="00107644"/>
    <w:rsid w:val="00107D44"/>
    <w:rsid w:val="00107F48"/>
    <w:rsid w:val="00110561"/>
    <w:rsid w:val="0011191B"/>
    <w:rsid w:val="0011331D"/>
    <w:rsid w:val="00114194"/>
    <w:rsid w:val="00116F6A"/>
    <w:rsid w:val="001178CA"/>
    <w:rsid w:val="00117E0C"/>
    <w:rsid w:val="001217A7"/>
    <w:rsid w:val="00124809"/>
    <w:rsid w:val="0012591F"/>
    <w:rsid w:val="00130723"/>
    <w:rsid w:val="001318C4"/>
    <w:rsid w:val="001318E8"/>
    <w:rsid w:val="00133256"/>
    <w:rsid w:val="001333AA"/>
    <w:rsid w:val="001334B3"/>
    <w:rsid w:val="00133ED9"/>
    <w:rsid w:val="00136A24"/>
    <w:rsid w:val="00137075"/>
    <w:rsid w:val="00137304"/>
    <w:rsid w:val="001406A8"/>
    <w:rsid w:val="001407C1"/>
    <w:rsid w:val="00141AA2"/>
    <w:rsid w:val="00141E33"/>
    <w:rsid w:val="00141E46"/>
    <w:rsid w:val="001420BE"/>
    <w:rsid w:val="00144377"/>
    <w:rsid w:val="00144F85"/>
    <w:rsid w:val="00145700"/>
    <w:rsid w:val="00152C72"/>
    <w:rsid w:val="00153401"/>
    <w:rsid w:val="001536A4"/>
    <w:rsid w:val="0015613E"/>
    <w:rsid w:val="00157742"/>
    <w:rsid w:val="00157818"/>
    <w:rsid w:val="0016151A"/>
    <w:rsid w:val="0016242F"/>
    <w:rsid w:val="00162B5F"/>
    <w:rsid w:val="00163694"/>
    <w:rsid w:val="00164E9E"/>
    <w:rsid w:val="0016704B"/>
    <w:rsid w:val="00170174"/>
    <w:rsid w:val="0017079F"/>
    <w:rsid w:val="0017126A"/>
    <w:rsid w:val="0017154B"/>
    <w:rsid w:val="00174428"/>
    <w:rsid w:val="00176AE3"/>
    <w:rsid w:val="00176D2C"/>
    <w:rsid w:val="00177A8A"/>
    <w:rsid w:val="00180FA4"/>
    <w:rsid w:val="00183CDD"/>
    <w:rsid w:val="00184920"/>
    <w:rsid w:val="00187CF8"/>
    <w:rsid w:val="00190648"/>
    <w:rsid w:val="00191955"/>
    <w:rsid w:val="00191C7A"/>
    <w:rsid w:val="00191D9F"/>
    <w:rsid w:val="0019374E"/>
    <w:rsid w:val="00194149"/>
    <w:rsid w:val="0019699F"/>
    <w:rsid w:val="001969CC"/>
    <w:rsid w:val="00196E78"/>
    <w:rsid w:val="001973D2"/>
    <w:rsid w:val="00197C5D"/>
    <w:rsid w:val="001A03A4"/>
    <w:rsid w:val="001A1323"/>
    <w:rsid w:val="001A151A"/>
    <w:rsid w:val="001A296D"/>
    <w:rsid w:val="001A31D2"/>
    <w:rsid w:val="001A4587"/>
    <w:rsid w:val="001A47B0"/>
    <w:rsid w:val="001A51D9"/>
    <w:rsid w:val="001A715F"/>
    <w:rsid w:val="001B0B15"/>
    <w:rsid w:val="001B1E02"/>
    <w:rsid w:val="001B2686"/>
    <w:rsid w:val="001B387A"/>
    <w:rsid w:val="001B640E"/>
    <w:rsid w:val="001B77D1"/>
    <w:rsid w:val="001C08AC"/>
    <w:rsid w:val="001C24FA"/>
    <w:rsid w:val="001C5851"/>
    <w:rsid w:val="001C5DC4"/>
    <w:rsid w:val="001C5EEF"/>
    <w:rsid w:val="001C68F1"/>
    <w:rsid w:val="001D2424"/>
    <w:rsid w:val="001D255D"/>
    <w:rsid w:val="001D5F97"/>
    <w:rsid w:val="001D7744"/>
    <w:rsid w:val="001D7E85"/>
    <w:rsid w:val="001E2505"/>
    <w:rsid w:val="001E29B5"/>
    <w:rsid w:val="001E2C77"/>
    <w:rsid w:val="001E3425"/>
    <w:rsid w:val="001E4F01"/>
    <w:rsid w:val="001E5547"/>
    <w:rsid w:val="001E7B3F"/>
    <w:rsid w:val="001F0E91"/>
    <w:rsid w:val="001F112A"/>
    <w:rsid w:val="001F3BFD"/>
    <w:rsid w:val="001F505E"/>
    <w:rsid w:val="001F51BE"/>
    <w:rsid w:val="001F6122"/>
    <w:rsid w:val="0020004D"/>
    <w:rsid w:val="00200813"/>
    <w:rsid w:val="00201043"/>
    <w:rsid w:val="00201C55"/>
    <w:rsid w:val="00201CDC"/>
    <w:rsid w:val="00203B25"/>
    <w:rsid w:val="002042F9"/>
    <w:rsid w:val="00204E04"/>
    <w:rsid w:val="00204E3F"/>
    <w:rsid w:val="00204EB8"/>
    <w:rsid w:val="00205CDD"/>
    <w:rsid w:val="00206B5C"/>
    <w:rsid w:val="002078C0"/>
    <w:rsid w:val="00207D0D"/>
    <w:rsid w:val="00210573"/>
    <w:rsid w:val="002105A3"/>
    <w:rsid w:val="0021249B"/>
    <w:rsid w:val="002127A7"/>
    <w:rsid w:val="00212A53"/>
    <w:rsid w:val="00212BAE"/>
    <w:rsid w:val="00220334"/>
    <w:rsid w:val="002217A5"/>
    <w:rsid w:val="00221B68"/>
    <w:rsid w:val="00222054"/>
    <w:rsid w:val="00222E70"/>
    <w:rsid w:val="00223389"/>
    <w:rsid w:val="00224BBA"/>
    <w:rsid w:val="00225E19"/>
    <w:rsid w:val="00230539"/>
    <w:rsid w:val="00231143"/>
    <w:rsid w:val="0023141B"/>
    <w:rsid w:val="00236E42"/>
    <w:rsid w:val="00242094"/>
    <w:rsid w:val="0024396C"/>
    <w:rsid w:val="0024488C"/>
    <w:rsid w:val="002454E4"/>
    <w:rsid w:val="00245E6E"/>
    <w:rsid w:val="002461B2"/>
    <w:rsid w:val="00247248"/>
    <w:rsid w:val="0024763B"/>
    <w:rsid w:val="00250945"/>
    <w:rsid w:val="002513AF"/>
    <w:rsid w:val="002536EE"/>
    <w:rsid w:val="00253A1A"/>
    <w:rsid w:val="00253A2A"/>
    <w:rsid w:val="00253A44"/>
    <w:rsid w:val="002544AA"/>
    <w:rsid w:val="00254F0E"/>
    <w:rsid w:val="00256A45"/>
    <w:rsid w:val="00256F49"/>
    <w:rsid w:val="0026023D"/>
    <w:rsid w:val="002603CB"/>
    <w:rsid w:val="00261095"/>
    <w:rsid w:val="00261E94"/>
    <w:rsid w:val="00262000"/>
    <w:rsid w:val="002621FD"/>
    <w:rsid w:val="00263352"/>
    <w:rsid w:val="0026519A"/>
    <w:rsid w:val="0026758B"/>
    <w:rsid w:val="00267655"/>
    <w:rsid w:val="002705C7"/>
    <w:rsid w:val="00271858"/>
    <w:rsid w:val="002720F3"/>
    <w:rsid w:val="00272267"/>
    <w:rsid w:val="0027394B"/>
    <w:rsid w:val="00274913"/>
    <w:rsid w:val="0027536B"/>
    <w:rsid w:val="00275D25"/>
    <w:rsid w:val="00276883"/>
    <w:rsid w:val="00277910"/>
    <w:rsid w:val="00281A31"/>
    <w:rsid w:val="00282E2B"/>
    <w:rsid w:val="00282E95"/>
    <w:rsid w:val="0028353B"/>
    <w:rsid w:val="00283C4D"/>
    <w:rsid w:val="00285C51"/>
    <w:rsid w:val="00285FE2"/>
    <w:rsid w:val="00286D88"/>
    <w:rsid w:val="00287651"/>
    <w:rsid w:val="00291241"/>
    <w:rsid w:val="00291964"/>
    <w:rsid w:val="00291A7C"/>
    <w:rsid w:val="00297DC0"/>
    <w:rsid w:val="002A0972"/>
    <w:rsid w:val="002A0DE6"/>
    <w:rsid w:val="002A3422"/>
    <w:rsid w:val="002A4955"/>
    <w:rsid w:val="002A61D5"/>
    <w:rsid w:val="002A634D"/>
    <w:rsid w:val="002A704E"/>
    <w:rsid w:val="002A7878"/>
    <w:rsid w:val="002A7CE2"/>
    <w:rsid w:val="002B1949"/>
    <w:rsid w:val="002B20F1"/>
    <w:rsid w:val="002B28E0"/>
    <w:rsid w:val="002B3DB2"/>
    <w:rsid w:val="002B5135"/>
    <w:rsid w:val="002B5646"/>
    <w:rsid w:val="002C1589"/>
    <w:rsid w:val="002C27F5"/>
    <w:rsid w:val="002C3A79"/>
    <w:rsid w:val="002C4C90"/>
    <w:rsid w:val="002C51F4"/>
    <w:rsid w:val="002C7BB3"/>
    <w:rsid w:val="002D0EA2"/>
    <w:rsid w:val="002D1A6E"/>
    <w:rsid w:val="002D23C7"/>
    <w:rsid w:val="002D4994"/>
    <w:rsid w:val="002D52B8"/>
    <w:rsid w:val="002D5A4D"/>
    <w:rsid w:val="002D5C5F"/>
    <w:rsid w:val="002D610A"/>
    <w:rsid w:val="002E0113"/>
    <w:rsid w:val="002E023D"/>
    <w:rsid w:val="002E0A02"/>
    <w:rsid w:val="002E0E19"/>
    <w:rsid w:val="002E1D87"/>
    <w:rsid w:val="002E324F"/>
    <w:rsid w:val="002E36E6"/>
    <w:rsid w:val="002E4D35"/>
    <w:rsid w:val="002E59B7"/>
    <w:rsid w:val="002F2399"/>
    <w:rsid w:val="002F31A8"/>
    <w:rsid w:val="002F3470"/>
    <w:rsid w:val="002F3D28"/>
    <w:rsid w:val="002F4001"/>
    <w:rsid w:val="002F4727"/>
    <w:rsid w:val="002F57E7"/>
    <w:rsid w:val="002F5D9C"/>
    <w:rsid w:val="002F5F51"/>
    <w:rsid w:val="00301231"/>
    <w:rsid w:val="0030306B"/>
    <w:rsid w:val="0030344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5F8"/>
    <w:rsid w:val="00323A33"/>
    <w:rsid w:val="00324618"/>
    <w:rsid w:val="00324C4A"/>
    <w:rsid w:val="0033143A"/>
    <w:rsid w:val="0033336C"/>
    <w:rsid w:val="003370C7"/>
    <w:rsid w:val="00337DAC"/>
    <w:rsid w:val="00340A2B"/>
    <w:rsid w:val="00340BE1"/>
    <w:rsid w:val="00345ED9"/>
    <w:rsid w:val="00347533"/>
    <w:rsid w:val="00347555"/>
    <w:rsid w:val="00347F90"/>
    <w:rsid w:val="003525A6"/>
    <w:rsid w:val="00352A82"/>
    <w:rsid w:val="00352A8E"/>
    <w:rsid w:val="00354EB2"/>
    <w:rsid w:val="00355939"/>
    <w:rsid w:val="00356C65"/>
    <w:rsid w:val="00363BBA"/>
    <w:rsid w:val="0036433B"/>
    <w:rsid w:val="00364B78"/>
    <w:rsid w:val="003657D6"/>
    <w:rsid w:val="00366FDC"/>
    <w:rsid w:val="00370670"/>
    <w:rsid w:val="00370A1F"/>
    <w:rsid w:val="00370E5E"/>
    <w:rsid w:val="00372B82"/>
    <w:rsid w:val="00373EC5"/>
    <w:rsid w:val="00376221"/>
    <w:rsid w:val="00376EC1"/>
    <w:rsid w:val="003811A2"/>
    <w:rsid w:val="003859AF"/>
    <w:rsid w:val="00385B1B"/>
    <w:rsid w:val="00385E8B"/>
    <w:rsid w:val="00386771"/>
    <w:rsid w:val="003874C9"/>
    <w:rsid w:val="00387623"/>
    <w:rsid w:val="003878BF"/>
    <w:rsid w:val="00387BB3"/>
    <w:rsid w:val="003913DB"/>
    <w:rsid w:val="00393511"/>
    <w:rsid w:val="003946DB"/>
    <w:rsid w:val="0039637F"/>
    <w:rsid w:val="00397A83"/>
    <w:rsid w:val="003A0313"/>
    <w:rsid w:val="003A08FE"/>
    <w:rsid w:val="003A0BDE"/>
    <w:rsid w:val="003A0F64"/>
    <w:rsid w:val="003A21A8"/>
    <w:rsid w:val="003A2FBC"/>
    <w:rsid w:val="003A384D"/>
    <w:rsid w:val="003A4EBE"/>
    <w:rsid w:val="003A5057"/>
    <w:rsid w:val="003A6A50"/>
    <w:rsid w:val="003A6CBD"/>
    <w:rsid w:val="003A6DE6"/>
    <w:rsid w:val="003A6E96"/>
    <w:rsid w:val="003B191F"/>
    <w:rsid w:val="003B1A15"/>
    <w:rsid w:val="003B2BF5"/>
    <w:rsid w:val="003B4026"/>
    <w:rsid w:val="003B45DF"/>
    <w:rsid w:val="003B6361"/>
    <w:rsid w:val="003B7BF8"/>
    <w:rsid w:val="003C02D4"/>
    <w:rsid w:val="003C0BC2"/>
    <w:rsid w:val="003C19C8"/>
    <w:rsid w:val="003C2199"/>
    <w:rsid w:val="003C3455"/>
    <w:rsid w:val="003C397A"/>
    <w:rsid w:val="003C408A"/>
    <w:rsid w:val="003C45B7"/>
    <w:rsid w:val="003C68B7"/>
    <w:rsid w:val="003C6BA5"/>
    <w:rsid w:val="003C7996"/>
    <w:rsid w:val="003D188D"/>
    <w:rsid w:val="003D1CA2"/>
    <w:rsid w:val="003D4281"/>
    <w:rsid w:val="003D4AB0"/>
    <w:rsid w:val="003D739B"/>
    <w:rsid w:val="003D7474"/>
    <w:rsid w:val="003D7955"/>
    <w:rsid w:val="003D7C28"/>
    <w:rsid w:val="003E106A"/>
    <w:rsid w:val="003E10BA"/>
    <w:rsid w:val="003E15CB"/>
    <w:rsid w:val="003E24FF"/>
    <w:rsid w:val="003E2CE8"/>
    <w:rsid w:val="003E4047"/>
    <w:rsid w:val="003E425D"/>
    <w:rsid w:val="003E621E"/>
    <w:rsid w:val="003E7246"/>
    <w:rsid w:val="003E72B6"/>
    <w:rsid w:val="003E7F3A"/>
    <w:rsid w:val="003F069F"/>
    <w:rsid w:val="003F07B5"/>
    <w:rsid w:val="003F100E"/>
    <w:rsid w:val="003F1EE7"/>
    <w:rsid w:val="003F203C"/>
    <w:rsid w:val="003F2754"/>
    <w:rsid w:val="003F3600"/>
    <w:rsid w:val="003F5687"/>
    <w:rsid w:val="003F56E3"/>
    <w:rsid w:val="003F7D8F"/>
    <w:rsid w:val="004029AA"/>
    <w:rsid w:val="004050BA"/>
    <w:rsid w:val="004059FD"/>
    <w:rsid w:val="00405C03"/>
    <w:rsid w:val="004101F0"/>
    <w:rsid w:val="00411035"/>
    <w:rsid w:val="00415117"/>
    <w:rsid w:val="004153CD"/>
    <w:rsid w:val="004168AA"/>
    <w:rsid w:val="00417060"/>
    <w:rsid w:val="00417D3D"/>
    <w:rsid w:val="0042154C"/>
    <w:rsid w:val="004221C2"/>
    <w:rsid w:val="0042226D"/>
    <w:rsid w:val="004247FE"/>
    <w:rsid w:val="00430739"/>
    <w:rsid w:val="00434C96"/>
    <w:rsid w:val="00434E63"/>
    <w:rsid w:val="00437BCE"/>
    <w:rsid w:val="00440525"/>
    <w:rsid w:val="00443583"/>
    <w:rsid w:val="00444939"/>
    <w:rsid w:val="00446D50"/>
    <w:rsid w:val="00446D63"/>
    <w:rsid w:val="004474A0"/>
    <w:rsid w:val="00447BBC"/>
    <w:rsid w:val="0045015E"/>
    <w:rsid w:val="00450931"/>
    <w:rsid w:val="00450C65"/>
    <w:rsid w:val="00451E91"/>
    <w:rsid w:val="00451EBA"/>
    <w:rsid w:val="00455240"/>
    <w:rsid w:val="004564E1"/>
    <w:rsid w:val="00457345"/>
    <w:rsid w:val="004576BE"/>
    <w:rsid w:val="00460511"/>
    <w:rsid w:val="004617D2"/>
    <w:rsid w:val="00465678"/>
    <w:rsid w:val="00467AB5"/>
    <w:rsid w:val="00471459"/>
    <w:rsid w:val="004715F3"/>
    <w:rsid w:val="00471E10"/>
    <w:rsid w:val="004727D8"/>
    <w:rsid w:val="004753C8"/>
    <w:rsid w:val="00475EEB"/>
    <w:rsid w:val="00476DD6"/>
    <w:rsid w:val="0047706C"/>
    <w:rsid w:val="00482CB7"/>
    <w:rsid w:val="0048342B"/>
    <w:rsid w:val="00484302"/>
    <w:rsid w:val="00487A35"/>
    <w:rsid w:val="00490E0E"/>
    <w:rsid w:val="00490F7C"/>
    <w:rsid w:val="00492807"/>
    <w:rsid w:val="00493C9B"/>
    <w:rsid w:val="004940C0"/>
    <w:rsid w:val="0049449B"/>
    <w:rsid w:val="00494726"/>
    <w:rsid w:val="00496A6D"/>
    <w:rsid w:val="00497BB5"/>
    <w:rsid w:val="00497CAE"/>
    <w:rsid w:val="004A334A"/>
    <w:rsid w:val="004A3921"/>
    <w:rsid w:val="004A490E"/>
    <w:rsid w:val="004A4CE9"/>
    <w:rsid w:val="004A6A57"/>
    <w:rsid w:val="004B24A4"/>
    <w:rsid w:val="004B2571"/>
    <w:rsid w:val="004B2EE1"/>
    <w:rsid w:val="004B2FA5"/>
    <w:rsid w:val="004B57D2"/>
    <w:rsid w:val="004B6E67"/>
    <w:rsid w:val="004C07EB"/>
    <w:rsid w:val="004C0DEF"/>
    <w:rsid w:val="004C2784"/>
    <w:rsid w:val="004C28AB"/>
    <w:rsid w:val="004C3223"/>
    <w:rsid w:val="004C58C5"/>
    <w:rsid w:val="004C622E"/>
    <w:rsid w:val="004D0C3B"/>
    <w:rsid w:val="004D1251"/>
    <w:rsid w:val="004D1A5B"/>
    <w:rsid w:val="004D5098"/>
    <w:rsid w:val="004D66B7"/>
    <w:rsid w:val="004D7395"/>
    <w:rsid w:val="004D7CC5"/>
    <w:rsid w:val="004E1D8B"/>
    <w:rsid w:val="004E22DD"/>
    <w:rsid w:val="004E282D"/>
    <w:rsid w:val="004E35B1"/>
    <w:rsid w:val="004E36BD"/>
    <w:rsid w:val="004E43A0"/>
    <w:rsid w:val="004E568D"/>
    <w:rsid w:val="004E67CE"/>
    <w:rsid w:val="004F00AC"/>
    <w:rsid w:val="004F099C"/>
    <w:rsid w:val="004F300C"/>
    <w:rsid w:val="004F517E"/>
    <w:rsid w:val="004F64B1"/>
    <w:rsid w:val="004F6704"/>
    <w:rsid w:val="004F7986"/>
    <w:rsid w:val="00500C79"/>
    <w:rsid w:val="00503731"/>
    <w:rsid w:val="005046FE"/>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5501"/>
    <w:rsid w:val="005267E6"/>
    <w:rsid w:val="00526D17"/>
    <w:rsid w:val="0053044B"/>
    <w:rsid w:val="00531071"/>
    <w:rsid w:val="0053194A"/>
    <w:rsid w:val="00531B32"/>
    <w:rsid w:val="00534933"/>
    <w:rsid w:val="00534F52"/>
    <w:rsid w:val="005363E0"/>
    <w:rsid w:val="0053792C"/>
    <w:rsid w:val="00537C21"/>
    <w:rsid w:val="005401F0"/>
    <w:rsid w:val="00540FDB"/>
    <w:rsid w:val="00541AC0"/>
    <w:rsid w:val="005422A1"/>
    <w:rsid w:val="00542C6F"/>
    <w:rsid w:val="005464D4"/>
    <w:rsid w:val="005469AD"/>
    <w:rsid w:val="00550B2A"/>
    <w:rsid w:val="00553923"/>
    <w:rsid w:val="00562ADD"/>
    <w:rsid w:val="00562BD4"/>
    <w:rsid w:val="00563C44"/>
    <w:rsid w:val="005647A9"/>
    <w:rsid w:val="0056742D"/>
    <w:rsid w:val="00567CC1"/>
    <w:rsid w:val="00567CC8"/>
    <w:rsid w:val="00570619"/>
    <w:rsid w:val="00571F8E"/>
    <w:rsid w:val="00573DFC"/>
    <w:rsid w:val="00575741"/>
    <w:rsid w:val="00575C10"/>
    <w:rsid w:val="0057655B"/>
    <w:rsid w:val="0058130A"/>
    <w:rsid w:val="00584EFF"/>
    <w:rsid w:val="005855DC"/>
    <w:rsid w:val="0058592F"/>
    <w:rsid w:val="005865AD"/>
    <w:rsid w:val="00586871"/>
    <w:rsid w:val="00586AD6"/>
    <w:rsid w:val="00587E35"/>
    <w:rsid w:val="005910DF"/>
    <w:rsid w:val="00591381"/>
    <w:rsid w:val="00591BAF"/>
    <w:rsid w:val="0059250A"/>
    <w:rsid w:val="00593240"/>
    <w:rsid w:val="00593F17"/>
    <w:rsid w:val="00594A85"/>
    <w:rsid w:val="005956E9"/>
    <w:rsid w:val="00595761"/>
    <w:rsid w:val="00596AB5"/>
    <w:rsid w:val="005972B7"/>
    <w:rsid w:val="00597617"/>
    <w:rsid w:val="005A03DB"/>
    <w:rsid w:val="005A2ABD"/>
    <w:rsid w:val="005A2D95"/>
    <w:rsid w:val="005A2FCC"/>
    <w:rsid w:val="005A47D2"/>
    <w:rsid w:val="005A741E"/>
    <w:rsid w:val="005A7830"/>
    <w:rsid w:val="005B02C0"/>
    <w:rsid w:val="005B132B"/>
    <w:rsid w:val="005B1895"/>
    <w:rsid w:val="005B19BA"/>
    <w:rsid w:val="005B2097"/>
    <w:rsid w:val="005B30B9"/>
    <w:rsid w:val="005B31B7"/>
    <w:rsid w:val="005B4887"/>
    <w:rsid w:val="005B5364"/>
    <w:rsid w:val="005B7839"/>
    <w:rsid w:val="005B79B1"/>
    <w:rsid w:val="005B7B77"/>
    <w:rsid w:val="005C4D34"/>
    <w:rsid w:val="005C534F"/>
    <w:rsid w:val="005D05D7"/>
    <w:rsid w:val="005D098A"/>
    <w:rsid w:val="005D0DC2"/>
    <w:rsid w:val="005D1639"/>
    <w:rsid w:val="005D182D"/>
    <w:rsid w:val="005D1BDB"/>
    <w:rsid w:val="005D2119"/>
    <w:rsid w:val="005D22D8"/>
    <w:rsid w:val="005D3299"/>
    <w:rsid w:val="005D4E75"/>
    <w:rsid w:val="005D5481"/>
    <w:rsid w:val="005D5AEB"/>
    <w:rsid w:val="005D7C23"/>
    <w:rsid w:val="005E0644"/>
    <w:rsid w:val="005E0888"/>
    <w:rsid w:val="005E0B18"/>
    <w:rsid w:val="005E1555"/>
    <w:rsid w:val="005E2BE6"/>
    <w:rsid w:val="005E2C35"/>
    <w:rsid w:val="005E3972"/>
    <w:rsid w:val="005E3C47"/>
    <w:rsid w:val="005E5E27"/>
    <w:rsid w:val="005F1D6E"/>
    <w:rsid w:val="005F1DB5"/>
    <w:rsid w:val="005F2D77"/>
    <w:rsid w:val="005F32C7"/>
    <w:rsid w:val="005F36A2"/>
    <w:rsid w:val="005F39A9"/>
    <w:rsid w:val="005F5EAD"/>
    <w:rsid w:val="005F71F9"/>
    <w:rsid w:val="005F78BF"/>
    <w:rsid w:val="00600646"/>
    <w:rsid w:val="00600DBD"/>
    <w:rsid w:val="00603296"/>
    <w:rsid w:val="006038F2"/>
    <w:rsid w:val="00603D50"/>
    <w:rsid w:val="00606036"/>
    <w:rsid w:val="00606F7E"/>
    <w:rsid w:val="0060769C"/>
    <w:rsid w:val="00607885"/>
    <w:rsid w:val="00610233"/>
    <w:rsid w:val="006108ED"/>
    <w:rsid w:val="00610D81"/>
    <w:rsid w:val="00610FC1"/>
    <w:rsid w:val="006114A6"/>
    <w:rsid w:val="0061225A"/>
    <w:rsid w:val="00612345"/>
    <w:rsid w:val="0061302E"/>
    <w:rsid w:val="0061382C"/>
    <w:rsid w:val="0061456E"/>
    <w:rsid w:val="00614A9A"/>
    <w:rsid w:val="00614D09"/>
    <w:rsid w:val="00615AEF"/>
    <w:rsid w:val="00615CA2"/>
    <w:rsid w:val="00616F85"/>
    <w:rsid w:val="006200E6"/>
    <w:rsid w:val="006232B2"/>
    <w:rsid w:val="00624F89"/>
    <w:rsid w:val="00626F82"/>
    <w:rsid w:val="00630A43"/>
    <w:rsid w:val="006310D7"/>
    <w:rsid w:val="00634457"/>
    <w:rsid w:val="006360A7"/>
    <w:rsid w:val="006403D1"/>
    <w:rsid w:val="00641C04"/>
    <w:rsid w:val="00642218"/>
    <w:rsid w:val="006439C7"/>
    <w:rsid w:val="00644CE9"/>
    <w:rsid w:val="00646454"/>
    <w:rsid w:val="006466DE"/>
    <w:rsid w:val="0064708D"/>
    <w:rsid w:val="0064799E"/>
    <w:rsid w:val="006502CF"/>
    <w:rsid w:val="00651536"/>
    <w:rsid w:val="00651FAE"/>
    <w:rsid w:val="006533B5"/>
    <w:rsid w:val="00653467"/>
    <w:rsid w:val="006548D4"/>
    <w:rsid w:val="00655219"/>
    <w:rsid w:val="006569F5"/>
    <w:rsid w:val="0065725C"/>
    <w:rsid w:val="00657580"/>
    <w:rsid w:val="00657E35"/>
    <w:rsid w:val="00661673"/>
    <w:rsid w:val="006619B7"/>
    <w:rsid w:val="00662A78"/>
    <w:rsid w:val="006636A3"/>
    <w:rsid w:val="006639C7"/>
    <w:rsid w:val="006649AD"/>
    <w:rsid w:val="00670AC3"/>
    <w:rsid w:val="006728D6"/>
    <w:rsid w:val="00675267"/>
    <w:rsid w:val="0067609D"/>
    <w:rsid w:val="00680FD5"/>
    <w:rsid w:val="0068178B"/>
    <w:rsid w:val="00681AB9"/>
    <w:rsid w:val="0068277E"/>
    <w:rsid w:val="00683F28"/>
    <w:rsid w:val="00687339"/>
    <w:rsid w:val="00687971"/>
    <w:rsid w:val="00691566"/>
    <w:rsid w:val="00691E45"/>
    <w:rsid w:val="00691EE7"/>
    <w:rsid w:val="00693806"/>
    <w:rsid w:val="0069528D"/>
    <w:rsid w:val="0069635D"/>
    <w:rsid w:val="006964A5"/>
    <w:rsid w:val="006A0227"/>
    <w:rsid w:val="006A1E48"/>
    <w:rsid w:val="006A2D1D"/>
    <w:rsid w:val="006A3DD0"/>
    <w:rsid w:val="006A4638"/>
    <w:rsid w:val="006A53FA"/>
    <w:rsid w:val="006A6380"/>
    <w:rsid w:val="006A71B7"/>
    <w:rsid w:val="006B122C"/>
    <w:rsid w:val="006B3E41"/>
    <w:rsid w:val="006B63CB"/>
    <w:rsid w:val="006B77C7"/>
    <w:rsid w:val="006C1ADE"/>
    <w:rsid w:val="006C1EF9"/>
    <w:rsid w:val="006C2417"/>
    <w:rsid w:val="006C496F"/>
    <w:rsid w:val="006C5061"/>
    <w:rsid w:val="006C60C3"/>
    <w:rsid w:val="006D2305"/>
    <w:rsid w:val="006D5ACD"/>
    <w:rsid w:val="006E02A8"/>
    <w:rsid w:val="006E0EFC"/>
    <w:rsid w:val="006E1950"/>
    <w:rsid w:val="006E32B3"/>
    <w:rsid w:val="006F0082"/>
    <w:rsid w:val="006F04DD"/>
    <w:rsid w:val="006F0C0E"/>
    <w:rsid w:val="006F1245"/>
    <w:rsid w:val="006F1254"/>
    <w:rsid w:val="006F1E6D"/>
    <w:rsid w:val="006F2506"/>
    <w:rsid w:val="006F3C83"/>
    <w:rsid w:val="006F6DFE"/>
    <w:rsid w:val="0070094A"/>
    <w:rsid w:val="00700ACE"/>
    <w:rsid w:val="00701491"/>
    <w:rsid w:val="0070165C"/>
    <w:rsid w:val="00701E1C"/>
    <w:rsid w:val="00703486"/>
    <w:rsid w:val="00703922"/>
    <w:rsid w:val="00703F14"/>
    <w:rsid w:val="007052D2"/>
    <w:rsid w:val="00705363"/>
    <w:rsid w:val="007054E9"/>
    <w:rsid w:val="00705EBF"/>
    <w:rsid w:val="00706590"/>
    <w:rsid w:val="00707370"/>
    <w:rsid w:val="0070770C"/>
    <w:rsid w:val="0070797C"/>
    <w:rsid w:val="00710C8E"/>
    <w:rsid w:val="00711D14"/>
    <w:rsid w:val="00711F92"/>
    <w:rsid w:val="007143B2"/>
    <w:rsid w:val="00714567"/>
    <w:rsid w:val="00715570"/>
    <w:rsid w:val="007155A0"/>
    <w:rsid w:val="00716507"/>
    <w:rsid w:val="007165BA"/>
    <w:rsid w:val="007167CF"/>
    <w:rsid w:val="00716B50"/>
    <w:rsid w:val="007171DE"/>
    <w:rsid w:val="00721136"/>
    <w:rsid w:val="0072371A"/>
    <w:rsid w:val="00723CBE"/>
    <w:rsid w:val="00726C06"/>
    <w:rsid w:val="0072722A"/>
    <w:rsid w:val="007274B2"/>
    <w:rsid w:val="00727B4C"/>
    <w:rsid w:val="0073066B"/>
    <w:rsid w:val="0073220C"/>
    <w:rsid w:val="00734A64"/>
    <w:rsid w:val="00735BBC"/>
    <w:rsid w:val="007375A5"/>
    <w:rsid w:val="00741522"/>
    <w:rsid w:val="00741EFF"/>
    <w:rsid w:val="007424B4"/>
    <w:rsid w:val="0074255A"/>
    <w:rsid w:val="007426C6"/>
    <w:rsid w:val="00742F5F"/>
    <w:rsid w:val="00743900"/>
    <w:rsid w:val="0074452D"/>
    <w:rsid w:val="00744DDD"/>
    <w:rsid w:val="00745839"/>
    <w:rsid w:val="00745DFE"/>
    <w:rsid w:val="00746BE9"/>
    <w:rsid w:val="00746C03"/>
    <w:rsid w:val="0074708D"/>
    <w:rsid w:val="00747CFB"/>
    <w:rsid w:val="007502AD"/>
    <w:rsid w:val="0075059B"/>
    <w:rsid w:val="0075074D"/>
    <w:rsid w:val="0075121F"/>
    <w:rsid w:val="007521A4"/>
    <w:rsid w:val="00752579"/>
    <w:rsid w:val="00752B14"/>
    <w:rsid w:val="00752BE7"/>
    <w:rsid w:val="00754031"/>
    <w:rsid w:val="007547AF"/>
    <w:rsid w:val="00755226"/>
    <w:rsid w:val="00755667"/>
    <w:rsid w:val="0075577E"/>
    <w:rsid w:val="00763174"/>
    <w:rsid w:val="00763C45"/>
    <w:rsid w:val="0076573A"/>
    <w:rsid w:val="0076624F"/>
    <w:rsid w:val="00766E03"/>
    <w:rsid w:val="00770798"/>
    <w:rsid w:val="00771E25"/>
    <w:rsid w:val="0077218D"/>
    <w:rsid w:val="00772675"/>
    <w:rsid w:val="007727DF"/>
    <w:rsid w:val="0077611A"/>
    <w:rsid w:val="007778E8"/>
    <w:rsid w:val="00777925"/>
    <w:rsid w:val="0078055F"/>
    <w:rsid w:val="007831E5"/>
    <w:rsid w:val="0078371C"/>
    <w:rsid w:val="00784523"/>
    <w:rsid w:val="00785408"/>
    <w:rsid w:val="00790052"/>
    <w:rsid w:val="00791F30"/>
    <w:rsid w:val="00793E28"/>
    <w:rsid w:val="00795F14"/>
    <w:rsid w:val="0079781E"/>
    <w:rsid w:val="007979C9"/>
    <w:rsid w:val="00797ABE"/>
    <w:rsid w:val="007A1BFB"/>
    <w:rsid w:val="007A3EBB"/>
    <w:rsid w:val="007A4D39"/>
    <w:rsid w:val="007A515D"/>
    <w:rsid w:val="007A6AAD"/>
    <w:rsid w:val="007B1A04"/>
    <w:rsid w:val="007B241A"/>
    <w:rsid w:val="007B25FD"/>
    <w:rsid w:val="007B4933"/>
    <w:rsid w:val="007B6390"/>
    <w:rsid w:val="007C2268"/>
    <w:rsid w:val="007C2415"/>
    <w:rsid w:val="007C2688"/>
    <w:rsid w:val="007C41A6"/>
    <w:rsid w:val="007C51AA"/>
    <w:rsid w:val="007C54EF"/>
    <w:rsid w:val="007C58BE"/>
    <w:rsid w:val="007C6C3F"/>
    <w:rsid w:val="007D0938"/>
    <w:rsid w:val="007D0AAC"/>
    <w:rsid w:val="007D1397"/>
    <w:rsid w:val="007D36BE"/>
    <w:rsid w:val="007D48CF"/>
    <w:rsid w:val="007D4EC2"/>
    <w:rsid w:val="007D654A"/>
    <w:rsid w:val="007D7E64"/>
    <w:rsid w:val="007E3426"/>
    <w:rsid w:val="007E3BA5"/>
    <w:rsid w:val="007E4545"/>
    <w:rsid w:val="007E47DD"/>
    <w:rsid w:val="007E777A"/>
    <w:rsid w:val="007F1048"/>
    <w:rsid w:val="007F24B7"/>
    <w:rsid w:val="007F3072"/>
    <w:rsid w:val="007F3275"/>
    <w:rsid w:val="007F3BA6"/>
    <w:rsid w:val="007F3C2E"/>
    <w:rsid w:val="007F4219"/>
    <w:rsid w:val="007F4AE6"/>
    <w:rsid w:val="007F5E64"/>
    <w:rsid w:val="007F67BC"/>
    <w:rsid w:val="0080378D"/>
    <w:rsid w:val="008050B9"/>
    <w:rsid w:val="0080538A"/>
    <w:rsid w:val="00806DAF"/>
    <w:rsid w:val="00807B3D"/>
    <w:rsid w:val="0081136C"/>
    <w:rsid w:val="0081143D"/>
    <w:rsid w:val="00812682"/>
    <w:rsid w:val="008145E7"/>
    <w:rsid w:val="00815199"/>
    <w:rsid w:val="008164F2"/>
    <w:rsid w:val="00816FD7"/>
    <w:rsid w:val="008204DC"/>
    <w:rsid w:val="00821BC2"/>
    <w:rsid w:val="00821D2F"/>
    <w:rsid w:val="00821EAA"/>
    <w:rsid w:val="00823CA9"/>
    <w:rsid w:val="0082549E"/>
    <w:rsid w:val="00825871"/>
    <w:rsid w:val="00825E7F"/>
    <w:rsid w:val="00826BAE"/>
    <w:rsid w:val="00826C55"/>
    <w:rsid w:val="00826E9A"/>
    <w:rsid w:val="00827DB7"/>
    <w:rsid w:val="00830A8D"/>
    <w:rsid w:val="0083143F"/>
    <w:rsid w:val="008327BE"/>
    <w:rsid w:val="00833007"/>
    <w:rsid w:val="00833240"/>
    <w:rsid w:val="00834E1B"/>
    <w:rsid w:val="00835DB0"/>
    <w:rsid w:val="00836FE9"/>
    <w:rsid w:val="00841895"/>
    <w:rsid w:val="00842A8A"/>
    <w:rsid w:val="0084303B"/>
    <w:rsid w:val="008443AF"/>
    <w:rsid w:val="00847608"/>
    <w:rsid w:val="00847C9F"/>
    <w:rsid w:val="00850545"/>
    <w:rsid w:val="00850B67"/>
    <w:rsid w:val="00852BF3"/>
    <w:rsid w:val="00852C9D"/>
    <w:rsid w:val="0085391A"/>
    <w:rsid w:val="008562AC"/>
    <w:rsid w:val="00856C0E"/>
    <w:rsid w:val="0086169C"/>
    <w:rsid w:val="0086169E"/>
    <w:rsid w:val="008623EB"/>
    <w:rsid w:val="00863493"/>
    <w:rsid w:val="008638F3"/>
    <w:rsid w:val="00864CA3"/>
    <w:rsid w:val="00867388"/>
    <w:rsid w:val="00867E01"/>
    <w:rsid w:val="008704A3"/>
    <w:rsid w:val="00870ED2"/>
    <w:rsid w:val="00872F87"/>
    <w:rsid w:val="008735CD"/>
    <w:rsid w:val="008770CC"/>
    <w:rsid w:val="008775F9"/>
    <w:rsid w:val="00882C3A"/>
    <w:rsid w:val="008832CF"/>
    <w:rsid w:val="00884687"/>
    <w:rsid w:val="008871B9"/>
    <w:rsid w:val="00887929"/>
    <w:rsid w:val="0089245B"/>
    <w:rsid w:val="00893075"/>
    <w:rsid w:val="00894A4A"/>
    <w:rsid w:val="00897079"/>
    <w:rsid w:val="008A1DDF"/>
    <w:rsid w:val="008A2C3C"/>
    <w:rsid w:val="008A321C"/>
    <w:rsid w:val="008A3232"/>
    <w:rsid w:val="008A61F5"/>
    <w:rsid w:val="008A6748"/>
    <w:rsid w:val="008A73EB"/>
    <w:rsid w:val="008B20E6"/>
    <w:rsid w:val="008B31E7"/>
    <w:rsid w:val="008B4B71"/>
    <w:rsid w:val="008B6867"/>
    <w:rsid w:val="008B6B8E"/>
    <w:rsid w:val="008C0DA9"/>
    <w:rsid w:val="008C2E86"/>
    <w:rsid w:val="008C3FD4"/>
    <w:rsid w:val="008C4FA8"/>
    <w:rsid w:val="008C56F2"/>
    <w:rsid w:val="008C6C65"/>
    <w:rsid w:val="008D0A3C"/>
    <w:rsid w:val="008D23B2"/>
    <w:rsid w:val="008D5268"/>
    <w:rsid w:val="008D6BED"/>
    <w:rsid w:val="008D6EE4"/>
    <w:rsid w:val="008E15FF"/>
    <w:rsid w:val="008E174E"/>
    <w:rsid w:val="008E1842"/>
    <w:rsid w:val="008E36C2"/>
    <w:rsid w:val="008E4CE6"/>
    <w:rsid w:val="008E51CA"/>
    <w:rsid w:val="008E5434"/>
    <w:rsid w:val="008E5D73"/>
    <w:rsid w:val="008F15A9"/>
    <w:rsid w:val="008F1A4F"/>
    <w:rsid w:val="008F26F6"/>
    <w:rsid w:val="008F3C74"/>
    <w:rsid w:val="008F43B1"/>
    <w:rsid w:val="008F5017"/>
    <w:rsid w:val="009001F9"/>
    <w:rsid w:val="009006EF"/>
    <w:rsid w:val="0090111A"/>
    <w:rsid w:val="009012DE"/>
    <w:rsid w:val="00901631"/>
    <w:rsid w:val="0090190C"/>
    <w:rsid w:val="00901CB6"/>
    <w:rsid w:val="00902F8C"/>
    <w:rsid w:val="00906E96"/>
    <w:rsid w:val="009101EE"/>
    <w:rsid w:val="00910B16"/>
    <w:rsid w:val="0091487E"/>
    <w:rsid w:val="00920754"/>
    <w:rsid w:val="009215EC"/>
    <w:rsid w:val="00922B43"/>
    <w:rsid w:val="00924053"/>
    <w:rsid w:val="0092554C"/>
    <w:rsid w:val="009259E9"/>
    <w:rsid w:val="00926CA1"/>
    <w:rsid w:val="00927044"/>
    <w:rsid w:val="009271B2"/>
    <w:rsid w:val="00927FD3"/>
    <w:rsid w:val="00930288"/>
    <w:rsid w:val="00931257"/>
    <w:rsid w:val="009315EB"/>
    <w:rsid w:val="00931BA4"/>
    <w:rsid w:val="00931FCF"/>
    <w:rsid w:val="00932015"/>
    <w:rsid w:val="00933FC4"/>
    <w:rsid w:val="009362A7"/>
    <w:rsid w:val="0093631C"/>
    <w:rsid w:val="0093716E"/>
    <w:rsid w:val="00937D1D"/>
    <w:rsid w:val="0094028F"/>
    <w:rsid w:val="009419F0"/>
    <w:rsid w:val="00943D6E"/>
    <w:rsid w:val="00943DFF"/>
    <w:rsid w:val="0094413B"/>
    <w:rsid w:val="009442F4"/>
    <w:rsid w:val="009456A2"/>
    <w:rsid w:val="009515D3"/>
    <w:rsid w:val="0095176B"/>
    <w:rsid w:val="0095199B"/>
    <w:rsid w:val="00952245"/>
    <w:rsid w:val="00952994"/>
    <w:rsid w:val="0095381B"/>
    <w:rsid w:val="009538A3"/>
    <w:rsid w:val="00953B2E"/>
    <w:rsid w:val="00953F9E"/>
    <w:rsid w:val="00956292"/>
    <w:rsid w:val="009606F9"/>
    <w:rsid w:val="009626FE"/>
    <w:rsid w:val="00963A5A"/>
    <w:rsid w:val="0096469B"/>
    <w:rsid w:val="009651F0"/>
    <w:rsid w:val="00965EE9"/>
    <w:rsid w:val="00967E42"/>
    <w:rsid w:val="00967F2C"/>
    <w:rsid w:val="00970C51"/>
    <w:rsid w:val="00972CC0"/>
    <w:rsid w:val="00972D4A"/>
    <w:rsid w:val="00973484"/>
    <w:rsid w:val="009737A0"/>
    <w:rsid w:val="00974905"/>
    <w:rsid w:val="00974B3F"/>
    <w:rsid w:val="009753B8"/>
    <w:rsid w:val="00975728"/>
    <w:rsid w:val="00975FC5"/>
    <w:rsid w:val="009765A7"/>
    <w:rsid w:val="009766DA"/>
    <w:rsid w:val="00980A80"/>
    <w:rsid w:val="009812DE"/>
    <w:rsid w:val="00981890"/>
    <w:rsid w:val="00981EB4"/>
    <w:rsid w:val="009824F1"/>
    <w:rsid w:val="00982A96"/>
    <w:rsid w:val="00984DBD"/>
    <w:rsid w:val="00984DE3"/>
    <w:rsid w:val="009850DA"/>
    <w:rsid w:val="00985B07"/>
    <w:rsid w:val="009877B5"/>
    <w:rsid w:val="009925C1"/>
    <w:rsid w:val="009927B8"/>
    <w:rsid w:val="00992FB6"/>
    <w:rsid w:val="00993EA7"/>
    <w:rsid w:val="0099549D"/>
    <w:rsid w:val="0099651A"/>
    <w:rsid w:val="00997F9E"/>
    <w:rsid w:val="009A0751"/>
    <w:rsid w:val="009A1FED"/>
    <w:rsid w:val="009A2CF2"/>
    <w:rsid w:val="009A322B"/>
    <w:rsid w:val="009A37C4"/>
    <w:rsid w:val="009A41A8"/>
    <w:rsid w:val="009A471F"/>
    <w:rsid w:val="009A60F6"/>
    <w:rsid w:val="009A6E34"/>
    <w:rsid w:val="009A734F"/>
    <w:rsid w:val="009B00E6"/>
    <w:rsid w:val="009B3CC5"/>
    <w:rsid w:val="009B51A8"/>
    <w:rsid w:val="009B66F0"/>
    <w:rsid w:val="009B6FEE"/>
    <w:rsid w:val="009B7393"/>
    <w:rsid w:val="009C0B6B"/>
    <w:rsid w:val="009C11AE"/>
    <w:rsid w:val="009C2762"/>
    <w:rsid w:val="009C4344"/>
    <w:rsid w:val="009C6599"/>
    <w:rsid w:val="009C73B6"/>
    <w:rsid w:val="009D1ADC"/>
    <w:rsid w:val="009D48E4"/>
    <w:rsid w:val="009D4A9C"/>
    <w:rsid w:val="009D53B5"/>
    <w:rsid w:val="009D7132"/>
    <w:rsid w:val="009E0ECB"/>
    <w:rsid w:val="009E50A9"/>
    <w:rsid w:val="009F00FE"/>
    <w:rsid w:val="009F06BA"/>
    <w:rsid w:val="009F14D3"/>
    <w:rsid w:val="009F6102"/>
    <w:rsid w:val="009F643F"/>
    <w:rsid w:val="009F6647"/>
    <w:rsid w:val="009F6DAD"/>
    <w:rsid w:val="009F7C58"/>
    <w:rsid w:val="009F7DE2"/>
    <w:rsid w:val="00A00FC9"/>
    <w:rsid w:val="00A01269"/>
    <w:rsid w:val="00A01C2E"/>
    <w:rsid w:val="00A03B45"/>
    <w:rsid w:val="00A03D36"/>
    <w:rsid w:val="00A05CC6"/>
    <w:rsid w:val="00A071FF"/>
    <w:rsid w:val="00A10416"/>
    <w:rsid w:val="00A11E4D"/>
    <w:rsid w:val="00A132CE"/>
    <w:rsid w:val="00A1349B"/>
    <w:rsid w:val="00A140D4"/>
    <w:rsid w:val="00A145B4"/>
    <w:rsid w:val="00A15A34"/>
    <w:rsid w:val="00A15D7C"/>
    <w:rsid w:val="00A169F9"/>
    <w:rsid w:val="00A17FE2"/>
    <w:rsid w:val="00A20982"/>
    <w:rsid w:val="00A20CD7"/>
    <w:rsid w:val="00A20FFD"/>
    <w:rsid w:val="00A212B8"/>
    <w:rsid w:val="00A2225F"/>
    <w:rsid w:val="00A2268F"/>
    <w:rsid w:val="00A22B94"/>
    <w:rsid w:val="00A248B1"/>
    <w:rsid w:val="00A24E8F"/>
    <w:rsid w:val="00A255C6"/>
    <w:rsid w:val="00A26722"/>
    <w:rsid w:val="00A268AC"/>
    <w:rsid w:val="00A26C67"/>
    <w:rsid w:val="00A3112F"/>
    <w:rsid w:val="00A33F1F"/>
    <w:rsid w:val="00A34CB3"/>
    <w:rsid w:val="00A35DFD"/>
    <w:rsid w:val="00A376FA"/>
    <w:rsid w:val="00A37749"/>
    <w:rsid w:val="00A37D12"/>
    <w:rsid w:val="00A37F2F"/>
    <w:rsid w:val="00A40F52"/>
    <w:rsid w:val="00A41766"/>
    <w:rsid w:val="00A43F62"/>
    <w:rsid w:val="00A47064"/>
    <w:rsid w:val="00A51FE9"/>
    <w:rsid w:val="00A53412"/>
    <w:rsid w:val="00A53EC3"/>
    <w:rsid w:val="00A548B0"/>
    <w:rsid w:val="00A6031C"/>
    <w:rsid w:val="00A6072C"/>
    <w:rsid w:val="00A620AD"/>
    <w:rsid w:val="00A628E3"/>
    <w:rsid w:val="00A62B2C"/>
    <w:rsid w:val="00A62EF3"/>
    <w:rsid w:val="00A63AFB"/>
    <w:rsid w:val="00A64F97"/>
    <w:rsid w:val="00A65DAB"/>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C04"/>
    <w:rsid w:val="00A832BD"/>
    <w:rsid w:val="00A84FF9"/>
    <w:rsid w:val="00A8708E"/>
    <w:rsid w:val="00A87C83"/>
    <w:rsid w:val="00A91109"/>
    <w:rsid w:val="00A911D5"/>
    <w:rsid w:val="00A94082"/>
    <w:rsid w:val="00A94729"/>
    <w:rsid w:val="00A976AB"/>
    <w:rsid w:val="00AA1AB0"/>
    <w:rsid w:val="00AA2523"/>
    <w:rsid w:val="00AA2A55"/>
    <w:rsid w:val="00AA2F3C"/>
    <w:rsid w:val="00AA5450"/>
    <w:rsid w:val="00AA5C5D"/>
    <w:rsid w:val="00AB079A"/>
    <w:rsid w:val="00AB39A3"/>
    <w:rsid w:val="00AB400A"/>
    <w:rsid w:val="00AB4496"/>
    <w:rsid w:val="00AB60D6"/>
    <w:rsid w:val="00AB7F98"/>
    <w:rsid w:val="00AC05AE"/>
    <w:rsid w:val="00AC0916"/>
    <w:rsid w:val="00AC0C82"/>
    <w:rsid w:val="00AC0DAB"/>
    <w:rsid w:val="00AC13EA"/>
    <w:rsid w:val="00AC2AB4"/>
    <w:rsid w:val="00AC356B"/>
    <w:rsid w:val="00AC4283"/>
    <w:rsid w:val="00AC4717"/>
    <w:rsid w:val="00AC497E"/>
    <w:rsid w:val="00AC6612"/>
    <w:rsid w:val="00AC6D1F"/>
    <w:rsid w:val="00AC72D4"/>
    <w:rsid w:val="00AD2DE3"/>
    <w:rsid w:val="00AD3D1D"/>
    <w:rsid w:val="00AD4614"/>
    <w:rsid w:val="00AD5546"/>
    <w:rsid w:val="00AD5D2E"/>
    <w:rsid w:val="00AE179E"/>
    <w:rsid w:val="00AE2BE8"/>
    <w:rsid w:val="00AE38FE"/>
    <w:rsid w:val="00AE42D8"/>
    <w:rsid w:val="00AE4914"/>
    <w:rsid w:val="00AE4E6F"/>
    <w:rsid w:val="00AE5D8E"/>
    <w:rsid w:val="00AE7BF2"/>
    <w:rsid w:val="00AE7C7E"/>
    <w:rsid w:val="00AF0D63"/>
    <w:rsid w:val="00AF1F8B"/>
    <w:rsid w:val="00AF20BA"/>
    <w:rsid w:val="00AF28B6"/>
    <w:rsid w:val="00AF305C"/>
    <w:rsid w:val="00AF3BEA"/>
    <w:rsid w:val="00AF4248"/>
    <w:rsid w:val="00AF4697"/>
    <w:rsid w:val="00AF4A1D"/>
    <w:rsid w:val="00AF53D6"/>
    <w:rsid w:val="00AF6275"/>
    <w:rsid w:val="00AF65B3"/>
    <w:rsid w:val="00AF6621"/>
    <w:rsid w:val="00AF6759"/>
    <w:rsid w:val="00AF6A52"/>
    <w:rsid w:val="00AF6ABA"/>
    <w:rsid w:val="00AF6F53"/>
    <w:rsid w:val="00AF6FAD"/>
    <w:rsid w:val="00AF7CD5"/>
    <w:rsid w:val="00B016AC"/>
    <w:rsid w:val="00B01C19"/>
    <w:rsid w:val="00B02873"/>
    <w:rsid w:val="00B03BA3"/>
    <w:rsid w:val="00B0421A"/>
    <w:rsid w:val="00B04BAC"/>
    <w:rsid w:val="00B05123"/>
    <w:rsid w:val="00B05BD6"/>
    <w:rsid w:val="00B11116"/>
    <w:rsid w:val="00B14634"/>
    <w:rsid w:val="00B15A64"/>
    <w:rsid w:val="00B17415"/>
    <w:rsid w:val="00B17A79"/>
    <w:rsid w:val="00B17E72"/>
    <w:rsid w:val="00B20060"/>
    <w:rsid w:val="00B30494"/>
    <w:rsid w:val="00B312A1"/>
    <w:rsid w:val="00B31EEF"/>
    <w:rsid w:val="00B33585"/>
    <w:rsid w:val="00B34870"/>
    <w:rsid w:val="00B34D4E"/>
    <w:rsid w:val="00B34E40"/>
    <w:rsid w:val="00B40527"/>
    <w:rsid w:val="00B41002"/>
    <w:rsid w:val="00B41AB6"/>
    <w:rsid w:val="00B430D6"/>
    <w:rsid w:val="00B4388C"/>
    <w:rsid w:val="00B43D3B"/>
    <w:rsid w:val="00B457FA"/>
    <w:rsid w:val="00B45CC8"/>
    <w:rsid w:val="00B45EF1"/>
    <w:rsid w:val="00B46892"/>
    <w:rsid w:val="00B47A07"/>
    <w:rsid w:val="00B50729"/>
    <w:rsid w:val="00B51EFB"/>
    <w:rsid w:val="00B52140"/>
    <w:rsid w:val="00B53A8C"/>
    <w:rsid w:val="00B53A96"/>
    <w:rsid w:val="00B55154"/>
    <w:rsid w:val="00B55692"/>
    <w:rsid w:val="00B57E4A"/>
    <w:rsid w:val="00B6154A"/>
    <w:rsid w:val="00B6260B"/>
    <w:rsid w:val="00B62DF8"/>
    <w:rsid w:val="00B6431C"/>
    <w:rsid w:val="00B65078"/>
    <w:rsid w:val="00B66BA0"/>
    <w:rsid w:val="00B67A16"/>
    <w:rsid w:val="00B70CFB"/>
    <w:rsid w:val="00B719E1"/>
    <w:rsid w:val="00B7269B"/>
    <w:rsid w:val="00B72DD2"/>
    <w:rsid w:val="00B73881"/>
    <w:rsid w:val="00B7421F"/>
    <w:rsid w:val="00B7602E"/>
    <w:rsid w:val="00B80743"/>
    <w:rsid w:val="00B8090F"/>
    <w:rsid w:val="00B80D88"/>
    <w:rsid w:val="00B82761"/>
    <w:rsid w:val="00B82B01"/>
    <w:rsid w:val="00B84183"/>
    <w:rsid w:val="00B8463F"/>
    <w:rsid w:val="00B856F2"/>
    <w:rsid w:val="00B8598D"/>
    <w:rsid w:val="00B86ABF"/>
    <w:rsid w:val="00B86F24"/>
    <w:rsid w:val="00B9223E"/>
    <w:rsid w:val="00B94268"/>
    <w:rsid w:val="00B97DCF"/>
    <w:rsid w:val="00BA0508"/>
    <w:rsid w:val="00BA1FBC"/>
    <w:rsid w:val="00BA213A"/>
    <w:rsid w:val="00BA5D8A"/>
    <w:rsid w:val="00BA5F10"/>
    <w:rsid w:val="00BA5F8E"/>
    <w:rsid w:val="00BA65C8"/>
    <w:rsid w:val="00BA74B2"/>
    <w:rsid w:val="00BB0BA1"/>
    <w:rsid w:val="00BB0F95"/>
    <w:rsid w:val="00BB2048"/>
    <w:rsid w:val="00BB697D"/>
    <w:rsid w:val="00BC24E1"/>
    <w:rsid w:val="00BC28EE"/>
    <w:rsid w:val="00BC5CAC"/>
    <w:rsid w:val="00BC75A2"/>
    <w:rsid w:val="00BD2100"/>
    <w:rsid w:val="00BD2388"/>
    <w:rsid w:val="00BD3623"/>
    <w:rsid w:val="00BD4C1A"/>
    <w:rsid w:val="00BD6CB9"/>
    <w:rsid w:val="00BD7C5A"/>
    <w:rsid w:val="00BE1781"/>
    <w:rsid w:val="00BE2C54"/>
    <w:rsid w:val="00BE2F6C"/>
    <w:rsid w:val="00BE3B61"/>
    <w:rsid w:val="00BE4081"/>
    <w:rsid w:val="00BE4393"/>
    <w:rsid w:val="00BF1344"/>
    <w:rsid w:val="00BF5543"/>
    <w:rsid w:val="00BF5593"/>
    <w:rsid w:val="00BF6A50"/>
    <w:rsid w:val="00BF7B9B"/>
    <w:rsid w:val="00C05A59"/>
    <w:rsid w:val="00C061DD"/>
    <w:rsid w:val="00C06A4F"/>
    <w:rsid w:val="00C078F4"/>
    <w:rsid w:val="00C10606"/>
    <w:rsid w:val="00C10EA6"/>
    <w:rsid w:val="00C12188"/>
    <w:rsid w:val="00C13072"/>
    <w:rsid w:val="00C149CA"/>
    <w:rsid w:val="00C14DD1"/>
    <w:rsid w:val="00C1675B"/>
    <w:rsid w:val="00C20C52"/>
    <w:rsid w:val="00C21216"/>
    <w:rsid w:val="00C21CDF"/>
    <w:rsid w:val="00C23288"/>
    <w:rsid w:val="00C23647"/>
    <w:rsid w:val="00C24EAB"/>
    <w:rsid w:val="00C267AF"/>
    <w:rsid w:val="00C26FC7"/>
    <w:rsid w:val="00C3089E"/>
    <w:rsid w:val="00C31FD8"/>
    <w:rsid w:val="00C327EB"/>
    <w:rsid w:val="00C32E65"/>
    <w:rsid w:val="00C34D85"/>
    <w:rsid w:val="00C353B1"/>
    <w:rsid w:val="00C36099"/>
    <w:rsid w:val="00C37BB2"/>
    <w:rsid w:val="00C40E33"/>
    <w:rsid w:val="00C46A13"/>
    <w:rsid w:val="00C46C10"/>
    <w:rsid w:val="00C50132"/>
    <w:rsid w:val="00C51070"/>
    <w:rsid w:val="00C542A3"/>
    <w:rsid w:val="00C55A24"/>
    <w:rsid w:val="00C55F77"/>
    <w:rsid w:val="00C563A8"/>
    <w:rsid w:val="00C61115"/>
    <w:rsid w:val="00C61B47"/>
    <w:rsid w:val="00C622FB"/>
    <w:rsid w:val="00C62762"/>
    <w:rsid w:val="00C6569B"/>
    <w:rsid w:val="00C65B2C"/>
    <w:rsid w:val="00C6695A"/>
    <w:rsid w:val="00C67354"/>
    <w:rsid w:val="00C702CC"/>
    <w:rsid w:val="00C702D3"/>
    <w:rsid w:val="00C710C3"/>
    <w:rsid w:val="00C718FF"/>
    <w:rsid w:val="00C73601"/>
    <w:rsid w:val="00C750C2"/>
    <w:rsid w:val="00C761E6"/>
    <w:rsid w:val="00C76299"/>
    <w:rsid w:val="00C76926"/>
    <w:rsid w:val="00C76C59"/>
    <w:rsid w:val="00C76EE8"/>
    <w:rsid w:val="00C80799"/>
    <w:rsid w:val="00C8092C"/>
    <w:rsid w:val="00C816F0"/>
    <w:rsid w:val="00C82EDD"/>
    <w:rsid w:val="00C82FA8"/>
    <w:rsid w:val="00C843B5"/>
    <w:rsid w:val="00C8645E"/>
    <w:rsid w:val="00C9004D"/>
    <w:rsid w:val="00C91C19"/>
    <w:rsid w:val="00C9606A"/>
    <w:rsid w:val="00CA071E"/>
    <w:rsid w:val="00CA276B"/>
    <w:rsid w:val="00CA2E88"/>
    <w:rsid w:val="00CA4B23"/>
    <w:rsid w:val="00CA5357"/>
    <w:rsid w:val="00CA58A7"/>
    <w:rsid w:val="00CA5C50"/>
    <w:rsid w:val="00CA6521"/>
    <w:rsid w:val="00CA653F"/>
    <w:rsid w:val="00CB2DFA"/>
    <w:rsid w:val="00CB31E2"/>
    <w:rsid w:val="00CB4182"/>
    <w:rsid w:val="00CB4E2F"/>
    <w:rsid w:val="00CB5B38"/>
    <w:rsid w:val="00CB60F9"/>
    <w:rsid w:val="00CB75BA"/>
    <w:rsid w:val="00CC0EED"/>
    <w:rsid w:val="00CC12F5"/>
    <w:rsid w:val="00CC2510"/>
    <w:rsid w:val="00CC36CA"/>
    <w:rsid w:val="00CC7DDC"/>
    <w:rsid w:val="00CD0455"/>
    <w:rsid w:val="00CD0BA6"/>
    <w:rsid w:val="00CD1FED"/>
    <w:rsid w:val="00CD265A"/>
    <w:rsid w:val="00CD3C84"/>
    <w:rsid w:val="00CD58AF"/>
    <w:rsid w:val="00CD70A6"/>
    <w:rsid w:val="00CE07DC"/>
    <w:rsid w:val="00CE1908"/>
    <w:rsid w:val="00CE795C"/>
    <w:rsid w:val="00CF11D0"/>
    <w:rsid w:val="00CF1E32"/>
    <w:rsid w:val="00CF406C"/>
    <w:rsid w:val="00CF4093"/>
    <w:rsid w:val="00CF47EB"/>
    <w:rsid w:val="00CF5287"/>
    <w:rsid w:val="00CF5C80"/>
    <w:rsid w:val="00D005D8"/>
    <w:rsid w:val="00D00C95"/>
    <w:rsid w:val="00D022B1"/>
    <w:rsid w:val="00D04906"/>
    <w:rsid w:val="00D05BF0"/>
    <w:rsid w:val="00D05E6A"/>
    <w:rsid w:val="00D10BE8"/>
    <w:rsid w:val="00D12097"/>
    <w:rsid w:val="00D15026"/>
    <w:rsid w:val="00D17C15"/>
    <w:rsid w:val="00D21A8C"/>
    <w:rsid w:val="00D23F9C"/>
    <w:rsid w:val="00D23FE8"/>
    <w:rsid w:val="00D2404D"/>
    <w:rsid w:val="00D27532"/>
    <w:rsid w:val="00D27FF1"/>
    <w:rsid w:val="00D3420F"/>
    <w:rsid w:val="00D352DC"/>
    <w:rsid w:val="00D35DD7"/>
    <w:rsid w:val="00D41E0C"/>
    <w:rsid w:val="00D41FEB"/>
    <w:rsid w:val="00D42003"/>
    <w:rsid w:val="00D44C80"/>
    <w:rsid w:val="00D47875"/>
    <w:rsid w:val="00D50D64"/>
    <w:rsid w:val="00D512A1"/>
    <w:rsid w:val="00D51CDD"/>
    <w:rsid w:val="00D53595"/>
    <w:rsid w:val="00D54E7F"/>
    <w:rsid w:val="00D556AA"/>
    <w:rsid w:val="00D55CBC"/>
    <w:rsid w:val="00D57C1F"/>
    <w:rsid w:val="00D60CB6"/>
    <w:rsid w:val="00D62534"/>
    <w:rsid w:val="00D62640"/>
    <w:rsid w:val="00D62C0E"/>
    <w:rsid w:val="00D630F7"/>
    <w:rsid w:val="00D64632"/>
    <w:rsid w:val="00D6484D"/>
    <w:rsid w:val="00D653F5"/>
    <w:rsid w:val="00D66872"/>
    <w:rsid w:val="00D70AAD"/>
    <w:rsid w:val="00D71DA1"/>
    <w:rsid w:val="00D7378F"/>
    <w:rsid w:val="00D7692B"/>
    <w:rsid w:val="00D77E78"/>
    <w:rsid w:val="00D82AFC"/>
    <w:rsid w:val="00D84DC1"/>
    <w:rsid w:val="00D84ECD"/>
    <w:rsid w:val="00D861D9"/>
    <w:rsid w:val="00D86EE7"/>
    <w:rsid w:val="00D87E93"/>
    <w:rsid w:val="00D900E7"/>
    <w:rsid w:val="00D94186"/>
    <w:rsid w:val="00D94731"/>
    <w:rsid w:val="00D95310"/>
    <w:rsid w:val="00D95F61"/>
    <w:rsid w:val="00D96D52"/>
    <w:rsid w:val="00D970E0"/>
    <w:rsid w:val="00D973FA"/>
    <w:rsid w:val="00D97924"/>
    <w:rsid w:val="00DA1D9C"/>
    <w:rsid w:val="00DA418A"/>
    <w:rsid w:val="00DA55A2"/>
    <w:rsid w:val="00DA56A4"/>
    <w:rsid w:val="00DA6FFC"/>
    <w:rsid w:val="00DB0483"/>
    <w:rsid w:val="00DB3EBB"/>
    <w:rsid w:val="00DB64A3"/>
    <w:rsid w:val="00DB6653"/>
    <w:rsid w:val="00DB7B3F"/>
    <w:rsid w:val="00DC32FB"/>
    <w:rsid w:val="00DC438D"/>
    <w:rsid w:val="00DC441B"/>
    <w:rsid w:val="00DC466C"/>
    <w:rsid w:val="00DC4F83"/>
    <w:rsid w:val="00DC623F"/>
    <w:rsid w:val="00DC66F9"/>
    <w:rsid w:val="00DD236C"/>
    <w:rsid w:val="00DD24AF"/>
    <w:rsid w:val="00DD2DDC"/>
    <w:rsid w:val="00DD373A"/>
    <w:rsid w:val="00DD4E44"/>
    <w:rsid w:val="00DD6279"/>
    <w:rsid w:val="00DE04E2"/>
    <w:rsid w:val="00DE101A"/>
    <w:rsid w:val="00DE22CC"/>
    <w:rsid w:val="00DF0E6A"/>
    <w:rsid w:val="00DF2C5E"/>
    <w:rsid w:val="00DF6779"/>
    <w:rsid w:val="00DF6F10"/>
    <w:rsid w:val="00E0025D"/>
    <w:rsid w:val="00E0041D"/>
    <w:rsid w:val="00E00CC3"/>
    <w:rsid w:val="00E01452"/>
    <w:rsid w:val="00E015DF"/>
    <w:rsid w:val="00E03E18"/>
    <w:rsid w:val="00E04B9B"/>
    <w:rsid w:val="00E06F93"/>
    <w:rsid w:val="00E079E3"/>
    <w:rsid w:val="00E109FF"/>
    <w:rsid w:val="00E116FC"/>
    <w:rsid w:val="00E12380"/>
    <w:rsid w:val="00E12869"/>
    <w:rsid w:val="00E13C2C"/>
    <w:rsid w:val="00E13D46"/>
    <w:rsid w:val="00E13DF8"/>
    <w:rsid w:val="00E21233"/>
    <w:rsid w:val="00E219D6"/>
    <w:rsid w:val="00E22185"/>
    <w:rsid w:val="00E239B7"/>
    <w:rsid w:val="00E245F8"/>
    <w:rsid w:val="00E25A3E"/>
    <w:rsid w:val="00E25D38"/>
    <w:rsid w:val="00E2689B"/>
    <w:rsid w:val="00E26F98"/>
    <w:rsid w:val="00E275C7"/>
    <w:rsid w:val="00E326F8"/>
    <w:rsid w:val="00E342BD"/>
    <w:rsid w:val="00E345D6"/>
    <w:rsid w:val="00E34727"/>
    <w:rsid w:val="00E35560"/>
    <w:rsid w:val="00E3653B"/>
    <w:rsid w:val="00E418E1"/>
    <w:rsid w:val="00E42BAC"/>
    <w:rsid w:val="00E43D28"/>
    <w:rsid w:val="00E45667"/>
    <w:rsid w:val="00E45E10"/>
    <w:rsid w:val="00E45FE7"/>
    <w:rsid w:val="00E46407"/>
    <w:rsid w:val="00E4730E"/>
    <w:rsid w:val="00E4784A"/>
    <w:rsid w:val="00E5007F"/>
    <w:rsid w:val="00E5196D"/>
    <w:rsid w:val="00E52FC7"/>
    <w:rsid w:val="00E5684B"/>
    <w:rsid w:val="00E575F1"/>
    <w:rsid w:val="00E606D3"/>
    <w:rsid w:val="00E60810"/>
    <w:rsid w:val="00E61125"/>
    <w:rsid w:val="00E62732"/>
    <w:rsid w:val="00E632C9"/>
    <w:rsid w:val="00E6337C"/>
    <w:rsid w:val="00E63DD0"/>
    <w:rsid w:val="00E65C2B"/>
    <w:rsid w:val="00E665E9"/>
    <w:rsid w:val="00E6700A"/>
    <w:rsid w:val="00E67A9B"/>
    <w:rsid w:val="00E72523"/>
    <w:rsid w:val="00E73385"/>
    <w:rsid w:val="00E748F7"/>
    <w:rsid w:val="00E80286"/>
    <w:rsid w:val="00E802E2"/>
    <w:rsid w:val="00E84229"/>
    <w:rsid w:val="00E84888"/>
    <w:rsid w:val="00E86752"/>
    <w:rsid w:val="00E87069"/>
    <w:rsid w:val="00E9388A"/>
    <w:rsid w:val="00E94C68"/>
    <w:rsid w:val="00E96ACA"/>
    <w:rsid w:val="00EA1AC4"/>
    <w:rsid w:val="00EA2161"/>
    <w:rsid w:val="00EA4FC7"/>
    <w:rsid w:val="00EA61F6"/>
    <w:rsid w:val="00EB21FA"/>
    <w:rsid w:val="00EB32ED"/>
    <w:rsid w:val="00EB345B"/>
    <w:rsid w:val="00EB4366"/>
    <w:rsid w:val="00EB43C5"/>
    <w:rsid w:val="00EB682C"/>
    <w:rsid w:val="00EC01AE"/>
    <w:rsid w:val="00EC18F1"/>
    <w:rsid w:val="00EC29AB"/>
    <w:rsid w:val="00EC325B"/>
    <w:rsid w:val="00EC7513"/>
    <w:rsid w:val="00EC7E93"/>
    <w:rsid w:val="00ED02C9"/>
    <w:rsid w:val="00ED359B"/>
    <w:rsid w:val="00ED4F15"/>
    <w:rsid w:val="00ED5D47"/>
    <w:rsid w:val="00ED6137"/>
    <w:rsid w:val="00ED7211"/>
    <w:rsid w:val="00ED772E"/>
    <w:rsid w:val="00EE17EF"/>
    <w:rsid w:val="00EE229D"/>
    <w:rsid w:val="00EE4A34"/>
    <w:rsid w:val="00EE565A"/>
    <w:rsid w:val="00EE7EF3"/>
    <w:rsid w:val="00EF05E9"/>
    <w:rsid w:val="00EF0E7D"/>
    <w:rsid w:val="00EF28B4"/>
    <w:rsid w:val="00EF371B"/>
    <w:rsid w:val="00EF3ECF"/>
    <w:rsid w:val="00EF42AF"/>
    <w:rsid w:val="00EF4FEA"/>
    <w:rsid w:val="00EF5386"/>
    <w:rsid w:val="00EF5F79"/>
    <w:rsid w:val="00EF6AF8"/>
    <w:rsid w:val="00F00234"/>
    <w:rsid w:val="00F02372"/>
    <w:rsid w:val="00F06C06"/>
    <w:rsid w:val="00F07037"/>
    <w:rsid w:val="00F07647"/>
    <w:rsid w:val="00F07A80"/>
    <w:rsid w:val="00F07D0B"/>
    <w:rsid w:val="00F10A35"/>
    <w:rsid w:val="00F12A23"/>
    <w:rsid w:val="00F144F9"/>
    <w:rsid w:val="00F1497F"/>
    <w:rsid w:val="00F15625"/>
    <w:rsid w:val="00F15A88"/>
    <w:rsid w:val="00F15FA8"/>
    <w:rsid w:val="00F1604B"/>
    <w:rsid w:val="00F164E2"/>
    <w:rsid w:val="00F17C09"/>
    <w:rsid w:val="00F204CE"/>
    <w:rsid w:val="00F20781"/>
    <w:rsid w:val="00F211F8"/>
    <w:rsid w:val="00F22E92"/>
    <w:rsid w:val="00F2346C"/>
    <w:rsid w:val="00F24328"/>
    <w:rsid w:val="00F26113"/>
    <w:rsid w:val="00F30589"/>
    <w:rsid w:val="00F306AA"/>
    <w:rsid w:val="00F307C4"/>
    <w:rsid w:val="00F3168D"/>
    <w:rsid w:val="00F3286B"/>
    <w:rsid w:val="00F340E8"/>
    <w:rsid w:val="00F36DD4"/>
    <w:rsid w:val="00F4097C"/>
    <w:rsid w:val="00F41F57"/>
    <w:rsid w:val="00F42066"/>
    <w:rsid w:val="00F43A6F"/>
    <w:rsid w:val="00F44223"/>
    <w:rsid w:val="00F449B3"/>
    <w:rsid w:val="00F45F35"/>
    <w:rsid w:val="00F477B6"/>
    <w:rsid w:val="00F510C1"/>
    <w:rsid w:val="00F5155A"/>
    <w:rsid w:val="00F5240E"/>
    <w:rsid w:val="00F52A78"/>
    <w:rsid w:val="00F54172"/>
    <w:rsid w:val="00F5697A"/>
    <w:rsid w:val="00F60155"/>
    <w:rsid w:val="00F62C9F"/>
    <w:rsid w:val="00F63C54"/>
    <w:rsid w:val="00F64103"/>
    <w:rsid w:val="00F65033"/>
    <w:rsid w:val="00F66122"/>
    <w:rsid w:val="00F66C0D"/>
    <w:rsid w:val="00F66D0A"/>
    <w:rsid w:val="00F70CE6"/>
    <w:rsid w:val="00F7286F"/>
    <w:rsid w:val="00F72974"/>
    <w:rsid w:val="00F739CB"/>
    <w:rsid w:val="00F76C88"/>
    <w:rsid w:val="00F7722C"/>
    <w:rsid w:val="00F77CB8"/>
    <w:rsid w:val="00F817CB"/>
    <w:rsid w:val="00F82AFA"/>
    <w:rsid w:val="00F82C48"/>
    <w:rsid w:val="00F83C76"/>
    <w:rsid w:val="00F855A5"/>
    <w:rsid w:val="00F855E5"/>
    <w:rsid w:val="00F864E0"/>
    <w:rsid w:val="00F865CA"/>
    <w:rsid w:val="00F91109"/>
    <w:rsid w:val="00F9180E"/>
    <w:rsid w:val="00F91A47"/>
    <w:rsid w:val="00F921CF"/>
    <w:rsid w:val="00F9301A"/>
    <w:rsid w:val="00F9372C"/>
    <w:rsid w:val="00F95F8A"/>
    <w:rsid w:val="00F96732"/>
    <w:rsid w:val="00F977A9"/>
    <w:rsid w:val="00FA1453"/>
    <w:rsid w:val="00FA20DD"/>
    <w:rsid w:val="00FA22A8"/>
    <w:rsid w:val="00FA2AD8"/>
    <w:rsid w:val="00FA5421"/>
    <w:rsid w:val="00FB0B18"/>
    <w:rsid w:val="00FB3952"/>
    <w:rsid w:val="00FB6A60"/>
    <w:rsid w:val="00FC6B1B"/>
    <w:rsid w:val="00FC7D31"/>
    <w:rsid w:val="00FC7FE3"/>
    <w:rsid w:val="00FD0B7B"/>
    <w:rsid w:val="00FD1519"/>
    <w:rsid w:val="00FD2634"/>
    <w:rsid w:val="00FD2736"/>
    <w:rsid w:val="00FD3524"/>
    <w:rsid w:val="00FD7F83"/>
    <w:rsid w:val="00FE0147"/>
    <w:rsid w:val="00FE1C67"/>
    <w:rsid w:val="00FE269C"/>
    <w:rsid w:val="00FE2F49"/>
    <w:rsid w:val="00FE3047"/>
    <w:rsid w:val="00FE30C7"/>
    <w:rsid w:val="00FE3F58"/>
    <w:rsid w:val="00FE5F4A"/>
    <w:rsid w:val="00FF00BE"/>
    <w:rsid w:val="00FF3A63"/>
    <w:rsid w:val="00FF5039"/>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iPriority w:val="99"/>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130723"/>
    <w:pPr>
      <w:widowControl w:val="0"/>
      <w:spacing w:after="0" w:line="240" w:lineRule="auto"/>
      <w:jc w:val="both"/>
    </w:pPr>
    <w:rPr>
      <w:rFonts w:ascii="Times New Roman" w:eastAsia="Calibri" w:hAnsi="Times New Roman" w:cs="Times New Roman"/>
      <w:sz w:val="24"/>
    </w:rPr>
  </w:style>
  <w:style w:type="paragraph" w:customStyle="1" w:styleId="naisvisr">
    <w:name w:val="naisvisr"/>
    <w:basedOn w:val="Normal"/>
    <w:uiPriority w:val="99"/>
    <w:rsid w:val="00015B53"/>
    <w:pPr>
      <w:spacing w:before="150" w:after="150" w:line="240" w:lineRule="auto"/>
      <w:jc w:val="center"/>
    </w:pPr>
    <w:rPr>
      <w:rFonts w:ascii="Times New Roman" w:eastAsia="Times New Roman" w:hAnsi="Times New Roman" w:cs="Times New Roman"/>
      <w:b/>
      <w:bCs/>
      <w:sz w:val="28"/>
      <w:szCs w:val="28"/>
      <w:lang w:eastAsia="lv-LV"/>
    </w:rPr>
  </w:style>
  <w:style w:type="paragraph" w:customStyle="1" w:styleId="pf0">
    <w:name w:val="pf0"/>
    <w:basedOn w:val="Normal"/>
    <w:rsid w:val="00B719E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B719E1"/>
    <w:rPr>
      <w:rFonts w:ascii="Segoe UI" w:hAnsi="Segoe UI" w:cs="Segoe UI" w:hint="default"/>
      <w:sz w:val="18"/>
      <w:szCs w:val="18"/>
    </w:rPr>
  </w:style>
  <w:style w:type="character" w:customStyle="1" w:styleId="cf11">
    <w:name w:val="cf11"/>
    <w:basedOn w:val="DefaultParagraphFont"/>
    <w:rsid w:val="00B719E1"/>
    <w:rPr>
      <w:rFonts w:ascii="Segoe UI" w:hAnsi="Segoe UI" w:cs="Segoe UI" w:hint="default"/>
      <w:b/>
      <w:bCs/>
      <w:sz w:val="18"/>
      <w:szCs w:val="18"/>
    </w:rPr>
  </w:style>
  <w:style w:type="character" w:customStyle="1" w:styleId="cf21">
    <w:name w:val="cf21"/>
    <w:basedOn w:val="DefaultParagraphFont"/>
    <w:rsid w:val="00B719E1"/>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6820266">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1274327">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35707837">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32543468">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a.europa.eu/sites/default/documents/files/document_library/Publications/Draft%20Technical%20Standards/2020/RTS/961461/Final%20draft%20RTS%20on%20prudential%20requirements%20for%20Investment%20Firms%20%28EBA-RTS-2020-11%29.pdf" TargetMode="External"/><Relationship Id="rId13" Type="http://schemas.openxmlformats.org/officeDocument/2006/relationships/hyperlink" Target="mailto:Imants.Tiesnieks@fm.gov.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reg/2013/575/oj/?locale=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itania.saeima.lv/LIVS13/saeimalivs13.nsf/webSasaiste?OpenView&amp;restricttocategory=1005/Lp1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tap.mk.gov.lv/mk/mksedes/saraksts/protokols/?protokols=2019-05-14" TargetMode="External"/><Relationship Id="rId4" Type="http://schemas.openxmlformats.org/officeDocument/2006/relationships/settings" Target="settings.xml"/><Relationship Id="rId9" Type="http://schemas.openxmlformats.org/officeDocument/2006/relationships/hyperlink" Target="http://tap.mk.gov.lv/mk/mksedes/saraksts/protokols/?protokols=2021-03-110" TargetMode="External"/><Relationship Id="rId14" Type="http://schemas.openxmlformats.org/officeDocument/2006/relationships/hyperlink" Target="mailto:Imants.Tiesniek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6C646-432B-4800-8C68-EDED56977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16681</Words>
  <Characters>9509</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Likumprojekts "Grozījumi Kredītiestāžu likumā"</vt:lpstr>
    </vt:vector>
  </TitlesOfParts>
  <Manager/>
  <Company/>
  <LinksUpToDate>false</LinksUpToDate>
  <CharactersWithSpaces>26138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Kredītiestāžu likumā"</dc:title>
  <dc:subject>Izziņa</dc:subject>
  <dc:creator/>
  <cp:keywords/>
  <dc:description>67095441, aivis.hammers@fm.gov.lv</dc:description>
  <cp:lastModifiedBy/>
  <cp:revision>1</cp:revision>
  <dcterms:created xsi:type="dcterms:W3CDTF">2020-09-07T12:24:00Z</dcterms:created>
  <dcterms:modified xsi:type="dcterms:W3CDTF">2021-07-28T14:35:00Z</dcterms:modified>
  <cp:contentStatus/>
</cp:coreProperties>
</file>