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25-TA-2245: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dalību OECD laika periodā no 2024. gada jūlija līdz 2025. gada jūlijam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tekstu ar zemāk sniegto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Working party for Gender and Mainstreaming and Governance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 darbojas patstāvīgi, tajā ir pārstāvji no Valsts kancelejas un Labklājības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prioritāte ir veicināt dzimumu līdztiesības aspektus valdības darbībās un politikas lēmumos, dalībvalstis dalās ar labās prakses piemēriem un izaicinājumiem. OECD izvirza 4 pīlārus, lai veicinātu dzimumu līdztiesības aspekta integrēšanu visā OECD: 1) dati, kas mēra dzimumu nevienlīdzību; 2) vienota un integrēta pieeja dzimumu līdztiesībā; 3) turēties pie noteiktās politikas, risinot ilgstošas un jaunas problēmas; 4) sasniedzamība.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grupas aktualitātes, par ko ir bijušas diskusijas: 1) Dzimumu līdztiesības aspekta spēcīgāka integrēšana visā OECD; 2) Taisnīga un vienlīdzīga darba samaksa starp sievietēm un vīriešiem, tās pārredzamības nodrošināšana; 3) Datu nozīme iekļaujošas politikas veidošanā visās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pielikuma 12.-13.lpp atbilstoši kompetencei rindu "Publiskās pārvaldības komiteja Dzimumu līdztiesības integrētās pieejas un pārvaldības darba grupa (Working Party on Gender Mainstreaming and Governance)" papildināt ar Valsts kancelejas kā Latvijas pārstāvja Publiskās pārvaldības komitejā atbildīgās institūcijas sniegto informāciju par darba grupas darbu. Vēršam uzmanību, la Labklājības ministrija piedalās tikai līdzatbildīgās institūcijas statusā.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(Working Party on Gender Mainstreaming and Governance) – ELS) jaunā redakcijā (Working Party on Gender Mainstreaming and Governance) – WPGMG)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tabulas rindu "Nodarbinātības, darba un sociālo lietu komiteja (Employment, Labour and Social Affairs Committee – ELSAC) " jaunā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Pārskata periodā Labklājības ministrija aktīvi sadarbojās ar OECD un piedalījās regulārajās ELSAC komitejas (146.sesija 15.-17.10.2024. un 147. sesija 09-10.04.2025.), kā arī ELS direktorāta pārraudzībā esošo darba grupu sanāksmēs (Nodarbinātības darba grupa (07-08.04.2025), Migrācija (21.-23.05.2025.) un Sociālā politika (14.-15.11.2024. un 29.-30.04.2025)).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prioritātes sadarbībā ar OECD un ELS arī turpmāk būs rīcībpolitiku pilnveide iekļaujošāka darba tirgus veidošanai un pilnvērtīgākai Latvijas iedzīvotāju cilvēkresursu potenciāla izmantošanai; ienākumu nevienlīdzības un nabadzības mazināšana; kā arī sociālo pakalpojumu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ELSAC komitejas darba kārtībā un Darba un budžeta programmā arvien lielāku uzmanība pievērsta jautājumiem, kas saistīti ar mākslīgā intelekta ietekmi uz darba tirgu un sociālo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Koordinējot Latvijas viedokli ar citām ministrijām, ELSAC komitejā atbalstījuši OECD Padomes rekomendācijas (Recommendation on Artificial Intelligence in the Labour Market) projektu. Labklājības ministrija turpinās piedalīties mākslīgā intelekta ietekmes uz darba tirgu ekspertu grupā (Expert Group on AI in the Labour Market).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ELSAC ietvaros turpinās darbs, kas saistīts ar atbalsta sniegšanu Ukrainas civiliedzīvotājiem un atbalstu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labbūtības jomā ELSAC komitejas ietvaros atbalstām OECD  Padomes rekomendācijas projektu   Recommendation on Promoting Child Well-being.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Valsts kancelejas koordinēto Latvijas augsta līmeņa delegācijas dalību OECD rīkotajā Ukrainas vecāko amatpersonu pieredzes apmaiņas pasākumā (2024.gada 12.-14.decembrī) lūdzu ietvert atbilstoši tematikai nodaļas "VI OECD attiecības ar trešajām valstīm un organizācijām (ārējās attiecības)" apakšnodaļā "Ārējās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sadaļas "Labklājība" (ziņojuma 13.lpp) dzēst tekstu "Līdz ar vairāku citu Latvijas ministriju pārstāvjiem Labklājības ministrijas valsts sekretārs Ingus Alliks 2024.gada 12.–14. decembrī Parīzē piedalījās OECD rīkotajā Ukrainas vecāko amatpersonu pieredzes apmaiņas pasākumā, cita starpā paužot gatavību sniegt Labklājības ministrijas ekspertu ekspertīzi Ukrainas valsts programmas plānoto aktivitāšu ietvaros (dzimumu līdztiesība, sociālās politika)."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23.lapā apakšpunktu par akcīzes nodokļa izmaiņām no 2025.gada, lai sniegtā informācija būtu pēc iespējas precīzāka.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2025. gada akcīzes nodokļa likmju paaugstināšanu naftas produktiem, kurus izmanto par degvielu, naftas produktiem, dabasgāzei un sašķidrinātai naftas gāzei, kuru izmanto kā kurināmo, bezalkoholiskajiem dzērieniem ar cukura saturu no 8 g uz 100 ml, alkoholiskajiem dzērieniem, tabakas izstrādājumiem un pēc lietošanas mērķa līdzīgiem produktiem, kā arī akcīzes nodokļa atbrīvojuma atcelšanu naftas produktiem, kurus izmanto elektroenerģijas ražošanā un koģenerācijā.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iekļaut informatīvā ziņojuma  VII sadaļas  "Latvijas ekspertu iesaiste OECD darbā" apakšsadaļā "Publiskā pārvaldība" (informatīvā ziņojuma 41.lpp.) informāciju: "VARAM pārstāvis Sergejs Ņikitjuks piedalās Iedzīvotāju apmierinātības padomdevējas grupas (TSI Citizen Satisfaction - Advisory Group) darbā."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pārstāvis Sergejs Ņikitjuks piedalās Iedzīvotāju apmierinātības padomdevējas grupas (TSI Citizen Satisfaction - Advisory Group)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iekļaut informatīvā ziņojuma IV sadaļas "Latvijas dalība OECD apskatos, pētījumos un politikas iniciatīvu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apakšsadaļā "Regulatīvā politika/publiskā pārvaldība" (informatīvā ziņojuma 10.lpp) informāciju par dalību pētījumā par iedzīvotāju apmierinātību ar valdības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Nodrošināta Latvijas dalība OECD pētījumā "Pilsoņu apmierinātības mērīšana ar galvenajiem valsts pakalpojumiem labākai veiktspējai un paaugstinātai uzticībai" (“Measuring Citizen’s Satisfaction with Key Government Services for Better Performance and Enhanced Trust”),  sniedzot intervijas par publisko pakalpojumu pārvaldības un attīstības jautājumiem. VARAM arī organizēja OECD ekspertu misijas vizīti Latvijā 2025. gada 5.-6. jūnijā, kuras ietvaros OECD pārstāvji prezentēja pētījuma provizoriskos rezultātus un organizēja diskusijas ar Latvijas valsts pakalpojumu sniedzējiem (VID, VSAA, VDAA u.c.). Vizītē VARAM iesaistīja Valsts kancelejas, ministriju, ministriju padotības iestāžu, pašvaldību, VAS "Ceļu satiksmes drošības direkcija"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(KNAB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informatīvā ziņojuma Korupcijas apkarošanas sadaļu. Pirmkārt, izteikt sadaļas  nosaukumu šādā redakcijā: “Korupcijas novēršana un apkarošana”. Otrkārt, lūdzam papildināt sadaļu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maijā noslēdzās projekts "Korupcijas novēršanas ietvara stiprināšana Latvijā", kas īstenots Eiropas Komisijas Strukturālo reformu atbalsta ģenerāldirektorāta Tehniskā atbalsta instrumenta ietvaros. Projekta virsmērķis bija sniegt Latvijai atbalstu reformu izstrādē un ieviešanā korupcijas novēršanas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projekta laikā OECD eksperti: 1)  veica interešu konflikta novēršanas valsts amatpersonu darbībā normatīvā regulējuma atbilstības mūsdienu situācijai izvērtējumu, sagatavoja secinājumus un ieteikumus Latvijas interešu konflikta novēršanas regulējuma stiprināšanai; 2) izvērtēja normatīvos aktus un izstrādāja metodoloģiju iekšējās pretkorupcijas kontroles sistēmas ieviešanas kvalitātes novērtēšanai publiskas personas institūcijās; 3) sagatavoja rekomendācijas Nacionālā korupcijas risku novērtējuma metodoloģijas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sadaļu VIII "Latvijas amatpersonas, kas apstiprinātas vai turpina darbību OECD struktūrvienību, darba grupu vadībā" 38.lpp.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Sabiedriskā transporta pakalpojumu departamenta direktore A.Novikova 2025. gada 21. – 23. maijā piedalījās Starptautiskā Transporta foruma ikgadējā samita ministru sesijā, kurā tika atbalstīti divi politikas rekomendāciju dokumenti par ceļu satiksmes drošības politiku un mākslīgā intelekta lietošanu transporta institūcijām. Deklarācijām ir ieteikuma raksturs attiecībā uz ITF dalībvalstīm.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Ārpus samita ministru darba kārtības pēc Polijas iniciatīvas tika sagatavots paziņojums par Krievijas uzsāktā agresīvā un nepamatotā kara Ukrainā ietekmi uz transporta politiku. Tā būtība ir atbalstīt politikas tendenču attīstību, taču pievērst uzmanību, ka karš kā būtisks graujošais faktors atstāj iespaidu uz transporta nozaru starptautisko sadarbību un izaugsmi. Paziņojumu atbalstīja 23 ITF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iekļauta sadaļā "VII Latvijas ekspertu iesaiste OECD darbā", kas vairāk atbilst sniegtās informācijas būtībai.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22.lapā pēdējā rindkopā vārdu "četras" aizstāt ar vārdu "piecas", jo uzskaitītas piecas rekomendācijas Latvijai.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 24lpp rindkopu "Ņemot vērā ģeopolitisko situāciju, valdības noteiktā 2026.–2028. gada budžeta prioritāte ir aizsardzība, līdz ar to aizsardzības spēju stiprināšanai nepieciešamā finansējuma nodrošināšanā solidāri jāpiedalās visiem valdības līmeņa sektoriem, tajā skaitā arī pašvaldībām. Izmaiņas nekustamā īpašuma nodokļa politikā varētu radīt pašvaldībām papildu ieņēmumus. Vienlaikus norādām, ka pašvaldību nodokļu ieņēmumu īpatsvars no IKP Latvijā ir ceturtais augstākais starp ES valstīm, pārsniedzot ES vidējo rādītāju.", norādot, ka budžeta prioritātes ir </w:t>
            </w:r>
            <w:r w:rsidR="00000000" w:rsidRPr="00000000" w:rsidDel="00000000">
              <w:rPr>
                <w:u w:val="single"/>
                <w:rtl w:val="0"/>
              </w:rPr>
              <w:t xml:space="preserve">drošība, demogrāfija, izglītība </w:t>
            </w:r>
            <w:r w:rsidR="00000000" w:rsidRPr="00000000" w:rsidDel="00000000">
              <w:rPr>
                <w:rtl w:val="0"/>
              </w:rPr>
              <w:t xml:space="preserve">un ievietojot atsauci uz Informatīvo ziņojumu “Par valsts budžeta likumprojektā iekļaujamiem prioritārajiem pasākumiem 2026., 2027. un 2028. gadam”, kas š.g. 22. septembrī izskatīts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ņemot vērā FM 2025.gada 3. jūlijā sniegto informāciju precizēt Informatīvo ziņojumu par Latvijas dalību OECD laika periodā no 2024. gada jūlija līdz 2025. gada jūlijam, veicot tajā sekojošos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papildināt informātīvā ziņojuma sadaļu "III OECD divpusējie projekti ar Latviju" ar sekojošo informāciju: "Nākamā Finanšu tirgus komitejas darba grupas norise paredzēta 2025.gada 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Informatīvā ziņojuma sadaļu "IV Latvijas dalība OECD apskatos, pētījumos un politikas iniciatīvu projektos, pētījumos un politikas iniciatīvu projektos" ar sekojošo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Ekonomiskās sadarbības un attīstības organizācijas Finanšu tirgus komiteja. (146th Session of the CMF 30-31 oktobris, 2024.gads), Finanšu un digitalizācijas darba grupa (Finance and Digitalisation, OECD-FSB Roundtable on Artificial Intelligence in Finance)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2025 Global Insurance Statistics: Qualitative questionnaire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Questionnaire on Protecting Consumers from Financial Scams and Frauds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2025 OECD Global Pension Statistics: Qualitative questionnaire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OECD fast-track data collection: preliminary 2024 insurance statistics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OECD/IOPS/WB fast-track data collection: preliminary 2024 pension statistics by type of financing vehicle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OECD Annual survey on financial incentives for retirement savings - 2024 update".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papildināt Informatīvā ziņojuma sadaļu "V OECD labākās prakses apmaiņa, rekomendācijas un to ieviešana Latvijā" ar sekojošo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Ekonomiskās sadarbības un attīstības organizācijas Finanšu tirgus komitejas galvenais kopsaucējs un mērķis ir panākt videi draudzīgu finanšu projektu kritēriju atrašanu, kritēriju veidošanu un globālu standartu ieviešanu finanšu sektorā, un īpaši finanšu aktīvu pārvaldības jomā, otrkārt, meklēt virzienus mākslīgā intelekta (AI) izmantošanai finansēs, ņemot vērā to, ka pēdējos gados ir strauji pieaugusi AI izmantošana finansēs, un tas var sniegt nozīmīgus ieguvumus tirgus dalībniekiem un uzlabot klientu pakalpojumu saņemšanas pieredzi. Tajā pašā laikā mākslīgais intelekts finanšu jomā varētu arī pastiprināt esošos riskus finanšu tirgos un radīt jaunus. Šajā komitejā ir analizētas dažādas regulatīvās pieejas mākslīgā intelekta izmantošanai finansēs ESAO un ārpus ESAO jurisdikcijās, pamatojoties uz Aptauju par regulējošām pieejām mākslīgā intelekta jomā finansēs. Otrkārt, ir nepieciešams panākt ka finanšu tirgiem ir skaidra informācija un uzticami rādītāji, lai veidotu un sniegtu informāciju par ieguldījumiem un finansēšanas lēmumiem saistībā ar klimatu. Šajā komitejā tika diskutētas galvenās problēmas un iespējas, kas saistītas ar metrikas pārskatāmību, specifiku un integritāti, lai atbalstītu finanšu iestāžu virzību uz nulles neto emisiju saistību izpildi. Diskusija balstīta uz metrikas novērtējumiem, kas pētījuma dokumentos ietverts dažādos ietvaros, tika diskutēts par to, kas ir kopīgās tēmas un kādas ir pastāvošās nepilnības, kā arī ierobežojumi pamatā esošajos, vai neesošajos normatīvajos regulējumos, kā arī apstākļus, kas var kavēt finanšu iestāžu spēju apzināt  un atklāt pareizo metriku progresa sasniegšanai virzībā uz nulles neto emisijām. Ziņojumā un komitejā uzsvērts, ka ir jāturpina centieni izstrādāt stabilus rādītājus un stimulēt uzlabotu datu apmaiņu, kā arī stiprināt starptautisko sadarbību, lai samazinātu sadrumstalotību un nodrošinātu turpmāku metrikas un pamatā esošo metodoloģiju darbības jomu. Tika iezīmēti daudzi perspektīvi darbības virzieni,  par kuriem ir jāturpina vienoties pārstāvētajām dalībvalstīm. Latvija sniedza viedokli jautājumā par finanšu atvērtības nozīmi, kā arī mākslīgā intelekta potenciāla palielināšanu finanšu pakalpojumu sfērā, lai nodrošinātu drošus, konkurētspējīgus un pieejamus pakalpojumus, kā arī par nepieciešamību turpināt darbu pie finanšu tirgus ilgtspējīgas stratēģijas.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2.,3.,4.,5.,6.,7. ESAO ieteikums: Paaugstināt otrā līmeņa pensiju fondu ieguldījumu un koncentrācijas ierobežojumus viena emitenta aktīviem, nekustamajam īpašumam un privātajiem ieguldījumu fondiem, vienlaikus nodrošinot atbilstošus riska pārvaldības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Nesen veiktie grozījumi Valsts fondēto pensiju likumā ir vērsti uz to, lai stiprinātu aizsardzības pasākumus, kas saistīti ar ieguldījumiem alternatīvajos ieguldījumu fondos (AIF), jo īpaši tajos, kas ir reģistrēti, bet nav licencēti. Šīs izmaiņas bija nepieciešamas, lai uzlabotu pensiju fondu pārvaldnieku prudenciālo regulējumu un nodrošinātu pensiju plānu dalībnieku lielāku aizsardzību, ņemot vērā augstākos riskus, kas parasti saistīti ar AIF.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AIF daudzveidīgās un bieži vien sarežģītās ieguldījumu stratēģijas, to pārvaldnieku atšķirīgo pieredzi un dažādos regulatīvās uzraudzības līmeņus, grozījumi ievieš jaunu pienākumu pensiju aktīvu pārvaldniekiem. Konkrēti, ja pensiju plāna ieguldījumu politika ietver ieguldījumus AIF — neatkarīgi no tā, vai tie ir licencēti vai tikai reģistrēti —, aktīvu pārvaldniekam ir jāveic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Novērtēt AIF pārvaldnieka riska pārvaldības un interešu konfliktu mazināšanas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ka AIF pārvaldnieks rīkojas ieguldītāju interesēs gan sākotnējā ieguldījuma veikšanas laikā, gan attiecībā uz jebkādām turpmākām ieguldījumu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 grozījumu galvenais mērķis ir stiprināt pensiju fondu uzticību AIF pareizai pārvaldībai. Ieviešot mērķtiecīgas uzticamības pārbaudes saistības, tiesiskais regulējums nodrošina, ka pensiju aktīvu pārvaldnieki aktīvi piedalās AIF pārvaldnieku pārvaldības standartu un darbības integritātes novērtēšanā, jo īpaši gadījumos, kad oficiālā regulatīvā uzraudzība ir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Būtībā grozījumi cenšas uzlabot riska kontroli, pārredzamību un atbildību ilgtermiņa pensiju aktīvu pārvaldībā, vienlaikus veicinot drošāku un uzticamāku vidi sadarbībai ar augstāka riska un mazāk regulētām ieguldījumu struktūrām".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papildināt Informatīvā ziņojuma sadaļu "VII Latvijas ekspertu iesaiste OECD darbā" ar sekojošo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"The Committee on Financial Markets: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Head of delegation: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Aija Zitcere, Director of Financial Market Policy Department, Ministry of Finance (aija.zitcere@fm.gov.lv)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Other delegates: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Armands Pogulis - Financial Stability and Macroprudential Policy Department, Head of the Financial Stability Analysis Division, Latvijas Banka (Armands.Pogulis@bank.lv);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Dina Buse, Deputy Director of Financial Market Policy Department, Ministry of Finance, Latvijas Banka (Dina.Buse@fm.gov.lv)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The Working Party on Sustainable Finance: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Head of delegation: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Guntis Puķītis – Senior Expert of Capital Market and Insurance Policy Unit,  of the Financial Market Policy Department, Ministry of Finance (guntis.pukitis@fm.gov.lv)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Other delegates: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Arnis Jankovskis - Regulatory Requirements, Analysis and Methodology Department; Senior Regulatory Expert of the Supervisory Analysis and Methodology Division, Latvijas Banka (arnis.jankovskis@bank.lv)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The Working Party on Financial Consumer Protection, Education and Inclusion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Aija Brikše - Communications and Financial Literacy Department; Head of the Financial Literacy Division, Latvijas Banka (aija.brikse@bank.lv);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Zaiga Liepina - Director of Consumer Rights Protection Centre (pasts@ptac,goc.lv)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Didzis Bruklitis – Deputy Director of Competition, Consumer Rights and Sustainable Industry department, Ministry of Economics (Didzis.Bruklitis@em.gov.lv)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Baiba Januma – Senior Expert of Competition, Consumer Rights and Sustainable Industry department, Ministry of Economics (Baiba.Januma@em.gov.lv).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The Working Party on Insurance and Pensions.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Imants Tiesnieks – Chief Expert of Capital Market and Insurance Policy Unit, Financial Market Policy Department, Ministry of Finance (imants.tiesnieks@fm.gov.lv)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Evija Dundure – Head of the Insurance and Pension Supervision Department, Latvijas Banka (evija.dundure@bank.lv)".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izņemot tā 1.punktu, jo sniegtā informācija neatbilst sadaļā "III OECD divpusējie projekti ar Latviju" paredzētajai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Pielikumu Informatīvajam ziņojumam “Par Latvijas dalību OECD laika periodā no 2024. gada jūlija līdz 2025. gada jūlijam "OECD komiteju un darba grupu aktualitātes un prioritātes" "OECD komiteju un darba grupu aktualitātes un prioritātes" ar sekojošo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tirgus komiteja: 2024.gadā tika veikta darba grupu reforma, kā rezultātā tika likvidēta Apdrošināšanas un privāto pensiju komiteja, pārveidojot to par Finanšu tirgus komitejas padotībā esošu darba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"VIII Latvijas amatpersonas, kas apstiprinātas vai turpina darbību OECD struktūrvienību, darba grupu vadībā" atbilstoši nodaļas nosaukumam - norādīt informāciju tikai par amatpersonām, kas darbojas struktūrvienību, vai darba grupu vadībā, nevis ir Latvijas pārstāvji darba grupā.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kas neatbilst ziņojuma sadaļas nosaukumam, pārcelta uz saturam atbilstošu sadaļu "VII Latvijas ekspertu iesaiste OECD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Labākai informācijas uztveramībai izvērtēt iespēju nodaļā "IV Latvijas dalība OECD apskatos, pētījumos un politikas iniciatīvu projektos" izvērtēt iespējas saīsināt apakšnodaļu Izglītība.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izvērtēts, taču paļaujamies uz IZM kolēģu sniegtās informācijas atbilstību informatīvajam ziņojumam gan satura, gan apjoma 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- 22.09.2025.)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"III OECD divpusējie projekti ar Latviju" pārskatīt aprakstus, lai nodrošinātu vienlīdzīgu pieeju projektu aprakstā. Šobrīd atsevišķu nozaru projekti ir aprakstīti pārāk detailzēti (Izglītība), kamēr par citiem ir īss un kodogs apraksts.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izvērtēts, taču paļaujamies uz IZM kolēģu sniegtās informācijas atbilstību informatīvajam ziņojumam gan satura, gan apjoma ziņā.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25-TA-2245</w:t>
    </w:r>
    <w:r>
      <w:br/>
    </w:r>
    <w:r w:rsidR="00000000" w:rsidRPr="00000000" w:rsidDel="00000000">
      <w:rPr>
        <w:rtl w:val="0"/>
      </w:rPr>
      <w:t xml:space="preserve">03.10.2025. 15.22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25-TA-2245</w:t>
    </w:r>
    <w:r>
      <w:br/>
    </w:r>
    <w:r w:rsidR="00000000" w:rsidRPr="00000000" w:rsidDel="00000000">
      <w:rPr>
        <w:rtl w:val="0"/>
      </w:rPr>
      <w:t xml:space="preserve">03.10.2025. 15.22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Izziņa_25-TA-2245.docx</dc:title>
</cp:coreProperties>
</file>

<file path=docProps/custom.xml><?xml version="1.0" encoding="utf-8"?>
<Properties xmlns="http://schemas.openxmlformats.org/officeDocument/2006/custom-properties" xmlns:vt="http://schemas.openxmlformats.org/officeDocument/2006/docPropsVTypes"/>
</file>