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8E05" w14:textId="77777777" w:rsidR="00786DAF" w:rsidRDefault="00786DAF" w:rsidP="002C22B9">
      <w:pPr>
        <w:jc w:val="center"/>
        <w:rPr>
          <w:sz w:val="20"/>
        </w:rPr>
      </w:pPr>
    </w:p>
    <w:p w14:paraId="6F9A0C49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3D64EC0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19E1957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F97C38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549EC" w14:textId="4A6D2F18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4446">
              <w:rPr>
                <w:szCs w:val="24"/>
              </w:rPr>
              <w:t>10.09.2021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618C7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6B81B" w14:textId="684A3F5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36F3">
              <w:rPr>
                <w:szCs w:val="24"/>
              </w:rPr>
              <w:t>4.1-37/28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4446">
              <w:rPr>
                <w:szCs w:val="24"/>
              </w:rPr>
              <w:t>4980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5510730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E30A04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25B2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F0E26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987F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64A5559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08D7FB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9BA6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36F3">
              <w:rPr>
                <w:szCs w:val="24"/>
              </w:rPr>
              <w:t>26.08.2021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20748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355F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36F3">
              <w:rPr>
                <w:szCs w:val="24"/>
              </w:rPr>
              <w:t>VSS-813, 30  23§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433D76B0" w14:textId="77777777" w:rsidTr="000C0DD4">
        <w:trPr>
          <w:jc w:val="right"/>
        </w:trPr>
        <w:tc>
          <w:tcPr>
            <w:tcW w:w="4644" w:type="dxa"/>
          </w:tcPr>
          <w:p w14:paraId="35D18DE6" w14:textId="348DBE24" w:rsidR="000C0DD4" w:rsidRDefault="005A36F3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Tieslietu ministrija</w:t>
            </w:r>
            <w:r w:rsidR="00D22C99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27FF186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2458723F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056FDEF" w14:textId="77777777" w:rsidR="000C0DD4" w:rsidRDefault="005A36F3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noteikumu projekta saskaņošanu</w:t>
            </w:r>
          </w:p>
        </w:tc>
      </w:tr>
    </w:tbl>
    <w:p w14:paraId="7023AC1C" w14:textId="77777777" w:rsidR="00E04F00" w:rsidRPr="00615936" w:rsidRDefault="00E04F00" w:rsidP="00C04DED">
      <w:pPr>
        <w:jc w:val="left"/>
        <w:rPr>
          <w:szCs w:val="24"/>
        </w:rPr>
      </w:pPr>
    </w:p>
    <w:p w14:paraId="238E9281" w14:textId="77777777" w:rsidR="006D6710" w:rsidRPr="00615936" w:rsidRDefault="006D6710" w:rsidP="007F3771">
      <w:pPr>
        <w:rPr>
          <w:szCs w:val="24"/>
        </w:rPr>
      </w:pPr>
    </w:p>
    <w:p w14:paraId="74B5C725" w14:textId="77777777" w:rsidR="00D22C99" w:rsidRDefault="00D22C99" w:rsidP="00D22C99">
      <w:pPr>
        <w:ind w:firstLine="720"/>
        <w:rPr>
          <w:szCs w:val="24"/>
        </w:rPr>
      </w:pPr>
      <w:r>
        <w:rPr>
          <w:szCs w:val="24"/>
        </w:rPr>
        <w:t xml:space="preserve">Finanšu ministrija ir izskatījusi Tieslietu ministrijas sagatavoto Ministru kabineta noteikumu projektu “Noteikumi par </w:t>
      </w:r>
      <w:bookmarkStart w:id="6" w:name="_Hlk82083534"/>
      <w:r>
        <w:rPr>
          <w:szCs w:val="24"/>
        </w:rPr>
        <w:t xml:space="preserve">uzņēmējdarbības riska valsts nodevu </w:t>
      </w:r>
      <w:bookmarkEnd w:id="6"/>
      <w:r>
        <w:rPr>
          <w:szCs w:val="24"/>
        </w:rPr>
        <w:t xml:space="preserve">2022.gadā” (turpmāk – noteikumu projekts) (VSS-813), tam pievienoto sākotnējās ietekmes novērtējuma ziņojumu (anotāciju) un informē, ka konceptuāli neiebilst to tālākai virzībai, ja tiek ņemts vērā tālāk minētais. </w:t>
      </w:r>
    </w:p>
    <w:p w14:paraId="7CA5D644" w14:textId="7D2CAE9F" w:rsidR="00D22C99" w:rsidRDefault="00D22C99" w:rsidP="00D22C99">
      <w:pPr>
        <w:rPr>
          <w:szCs w:val="24"/>
        </w:rPr>
      </w:pPr>
      <w:r>
        <w:rPr>
          <w:szCs w:val="24"/>
        </w:rPr>
        <w:t xml:space="preserve">            Vēršam uzmanību, ka nav saprotama noteikumu projekta anotācijas III sadaļas 8.punktā sniegtā informācija, proti, kādu priekšlikumu Tieslietu ministrija iesniegs Finanšu ministrijā atbilstoši </w:t>
      </w:r>
      <w:r w:rsidR="00714A6B" w:rsidRPr="00714A6B">
        <w:rPr>
          <w:szCs w:val="24"/>
        </w:rPr>
        <w:t>informatīva</w:t>
      </w:r>
      <w:r w:rsidR="00714A6B">
        <w:rPr>
          <w:szCs w:val="24"/>
        </w:rPr>
        <w:t>jā</w:t>
      </w:r>
      <w:r w:rsidR="00714A6B" w:rsidRPr="00714A6B">
        <w:rPr>
          <w:szCs w:val="24"/>
        </w:rPr>
        <w:t xml:space="preserve"> ziņojum</w:t>
      </w:r>
      <w:r w:rsidR="00714A6B">
        <w:rPr>
          <w:szCs w:val="24"/>
        </w:rPr>
        <w:t>ā</w:t>
      </w:r>
      <w:r w:rsidR="00714A6B" w:rsidRPr="00714A6B">
        <w:rPr>
          <w:szCs w:val="24"/>
        </w:rPr>
        <w:t xml:space="preserve"> "Par uzņēmējdarbības riska valsts nodevas sadalījumu 2021. - 2023.gadam"</w:t>
      </w:r>
      <w:r w:rsidR="00714A6B">
        <w:rPr>
          <w:szCs w:val="24"/>
        </w:rPr>
        <w:t xml:space="preserve">, kas izskatīts </w:t>
      </w:r>
      <w:r w:rsidR="00714A6B" w:rsidRPr="00714A6B">
        <w:rPr>
          <w:szCs w:val="24"/>
        </w:rPr>
        <w:t>Ministru kabineta 2020. gada 25. augusta sēdē</w:t>
      </w:r>
      <w:r w:rsidR="00714A6B">
        <w:rPr>
          <w:szCs w:val="24"/>
        </w:rPr>
        <w:t>,</w:t>
      </w:r>
      <w:r w:rsidR="00714A6B" w:rsidRPr="00714A6B">
        <w:rPr>
          <w:szCs w:val="24"/>
        </w:rPr>
        <w:t xml:space="preserve"> (protokola Nr. 50 30.§) </w:t>
      </w:r>
      <w:r>
        <w:rPr>
          <w:szCs w:val="24"/>
        </w:rPr>
        <w:t>minētajam. Atzīmējam, ka saskaņā ar likumu “Par vidēja termiņa budžeta ietvaru 2021., 2022. un 2023.gadam” 2022.gadam ir paredzēts šāds uzņēmējdarbības riska valsts nodev</w:t>
      </w:r>
      <w:r w:rsidR="00714A6B">
        <w:rPr>
          <w:szCs w:val="24"/>
        </w:rPr>
        <w:t>as</w:t>
      </w:r>
      <w:r>
        <w:rPr>
          <w:szCs w:val="24"/>
        </w:rPr>
        <w:t xml:space="preserve"> (turpmāk- URVN) sadalījums </w:t>
      </w:r>
      <w:r w:rsidR="00714A6B">
        <w:rPr>
          <w:szCs w:val="24"/>
        </w:rPr>
        <w:t xml:space="preserve">- </w:t>
      </w:r>
      <w:r>
        <w:rPr>
          <w:szCs w:val="24"/>
        </w:rPr>
        <w:t>Tieslietu ministrijas budžeta apakšprogrammā 06.04.00 “Darbinieku prasījumu garantiju fonds” maksas pakalpojumos un citos pašu ieņēmumos iemaksājamā daļa 1 733 452 </w:t>
      </w:r>
      <w:proofErr w:type="spellStart"/>
      <w:r>
        <w:rPr>
          <w:i/>
          <w:iCs/>
          <w:szCs w:val="24"/>
        </w:rPr>
        <w:t>euro</w:t>
      </w:r>
      <w:proofErr w:type="spellEnd"/>
      <w:r>
        <w:rPr>
          <w:szCs w:val="24"/>
        </w:rPr>
        <w:t xml:space="preserve"> apmērā un valsts pamatbudžeta </w:t>
      </w:r>
      <w:proofErr w:type="spellStart"/>
      <w:r>
        <w:rPr>
          <w:szCs w:val="24"/>
        </w:rPr>
        <w:t>nenodokļu</w:t>
      </w:r>
      <w:proofErr w:type="spellEnd"/>
      <w:r>
        <w:rPr>
          <w:szCs w:val="24"/>
        </w:rPr>
        <w:t xml:space="preserve"> ieņēmumos iemaksājamā URVN  1 139 348 </w:t>
      </w:r>
      <w:proofErr w:type="spellStart"/>
      <w:r>
        <w:rPr>
          <w:i/>
          <w:iCs/>
          <w:szCs w:val="24"/>
        </w:rPr>
        <w:t>euro</w:t>
      </w:r>
      <w:proofErr w:type="spellEnd"/>
      <w:r>
        <w:rPr>
          <w:szCs w:val="24"/>
        </w:rPr>
        <w:t xml:space="preserve"> apmērā, līdz ar to uzskatām, ka nav nepieciešams iesniegt priekšlikumu Finanšu ministrijā</w:t>
      </w:r>
      <w:r w:rsidR="00714A6B">
        <w:rPr>
          <w:szCs w:val="24"/>
        </w:rPr>
        <w:t>.</w:t>
      </w:r>
      <w:r>
        <w:rPr>
          <w:szCs w:val="24"/>
        </w:rPr>
        <w:t xml:space="preserve"> </w:t>
      </w:r>
      <w:r w:rsidR="00714A6B">
        <w:rPr>
          <w:szCs w:val="24"/>
        </w:rPr>
        <w:t>A</w:t>
      </w:r>
      <w:r>
        <w:rPr>
          <w:szCs w:val="24"/>
        </w:rPr>
        <w:t>ttiecīgi precizējams anotācijas III sadaļas 8.punkts.</w:t>
      </w:r>
    </w:p>
    <w:p w14:paraId="0119EA6A" w14:textId="77777777" w:rsidR="00D22C99" w:rsidRDefault="00D22C99" w:rsidP="00D22C99">
      <w:pPr>
        <w:rPr>
          <w:rFonts w:ascii="Calibri" w:hAnsi="Calibri" w:cs="Calibri"/>
          <w:sz w:val="22"/>
          <w:szCs w:val="22"/>
        </w:rPr>
      </w:pPr>
    </w:p>
    <w:p w14:paraId="5A4293C9" w14:textId="77777777" w:rsidR="00D22C99" w:rsidRDefault="00D22C99" w:rsidP="00D22C99"/>
    <w:p w14:paraId="0FE1AC27" w14:textId="77777777" w:rsidR="00557B49" w:rsidRPr="00615936" w:rsidRDefault="00557B49" w:rsidP="007F3771">
      <w:pPr>
        <w:rPr>
          <w:szCs w:val="24"/>
        </w:rPr>
      </w:pPr>
    </w:p>
    <w:p w14:paraId="5F9602D9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67391C1" w14:textId="77777777" w:rsidTr="00AA6DC1">
        <w:tc>
          <w:tcPr>
            <w:tcW w:w="4395" w:type="dxa"/>
          </w:tcPr>
          <w:p w14:paraId="18F81EE5" w14:textId="77777777" w:rsidR="005A36F3" w:rsidRDefault="005A36F3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01C5E56D" w14:textId="77777777" w:rsidR="00AA6DC1" w:rsidRPr="00615936" w:rsidRDefault="005A36F3" w:rsidP="007F3771">
            <w:pPr>
              <w:rPr>
                <w:szCs w:val="24"/>
              </w:rPr>
            </w:pPr>
            <w:r>
              <w:rPr>
                <w:szCs w:val="24"/>
              </w:rPr>
              <w:t>nodokļu administrēšanas un ēnu ekonomikas ierobežošanas jautājumos</w:t>
            </w:r>
          </w:p>
        </w:tc>
        <w:tc>
          <w:tcPr>
            <w:tcW w:w="1984" w:type="dxa"/>
          </w:tcPr>
          <w:p w14:paraId="1FFF3CD9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1DCE17CB" w14:textId="77777777" w:rsidR="00AA6DC1" w:rsidRPr="00615936" w:rsidRDefault="005A36F3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J.Salmiņa</w:t>
            </w:r>
            <w:proofErr w:type="spellEnd"/>
          </w:p>
        </w:tc>
      </w:tr>
      <w:tr w:rsidR="00AA6DC1" w:rsidRPr="00615936" w14:paraId="37B03019" w14:textId="77777777" w:rsidTr="00AA6DC1">
        <w:tc>
          <w:tcPr>
            <w:tcW w:w="4395" w:type="dxa"/>
          </w:tcPr>
          <w:p w14:paraId="1AAB45C6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7A07A4C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280866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378F851" w14:textId="77777777" w:rsidTr="00AA6DC1">
        <w:trPr>
          <w:cantSplit/>
          <w:trHeight w:val="615"/>
        </w:trPr>
        <w:tc>
          <w:tcPr>
            <w:tcW w:w="8647" w:type="dxa"/>
          </w:tcPr>
          <w:p w14:paraId="7D320865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52DAE503" w14:textId="77777777" w:rsidR="00826D51" w:rsidRDefault="00826D51" w:rsidP="007F3771">
      <w:pPr>
        <w:rPr>
          <w:sz w:val="20"/>
        </w:rPr>
      </w:pPr>
    </w:p>
    <w:p w14:paraId="329076A9" w14:textId="77777777" w:rsidR="005A36F3" w:rsidRDefault="005A36F3" w:rsidP="00550BA5">
      <w:pPr>
        <w:ind w:firstLine="142"/>
        <w:rPr>
          <w:sz w:val="20"/>
        </w:rPr>
      </w:pPr>
      <w:r>
        <w:rPr>
          <w:sz w:val="20"/>
        </w:rPr>
        <w:t xml:space="preserve">Vanaga 67083901 </w:t>
      </w:r>
    </w:p>
    <w:p w14:paraId="6B2511AD" w14:textId="600F871A" w:rsidR="000C0DD4" w:rsidRDefault="00335DA6" w:rsidP="00550BA5">
      <w:pPr>
        <w:ind w:firstLine="142"/>
        <w:rPr>
          <w:sz w:val="20"/>
        </w:rPr>
      </w:pPr>
      <w:hyperlink r:id="rId7" w:history="1">
        <w:r w:rsidR="00D22C99" w:rsidRPr="0078291D">
          <w:rPr>
            <w:rStyle w:val="Hipersaite"/>
            <w:sz w:val="20"/>
          </w:rPr>
          <w:t>Inese.Vanaga@fm.gov.lv</w:t>
        </w:r>
      </w:hyperlink>
      <w:r w:rsidR="00D22C99">
        <w:rPr>
          <w:sz w:val="20"/>
        </w:rPr>
        <w:t xml:space="preserve"> </w:t>
      </w:r>
    </w:p>
    <w:p w14:paraId="0411A93C" w14:textId="2A784DCA" w:rsidR="00D22C99" w:rsidRDefault="00D22C99" w:rsidP="00550BA5">
      <w:pPr>
        <w:ind w:firstLine="142"/>
        <w:rPr>
          <w:sz w:val="20"/>
        </w:rPr>
      </w:pPr>
    </w:p>
    <w:p w14:paraId="644D0B2F" w14:textId="0B937F77" w:rsidR="00D22C99" w:rsidRDefault="00D22C99" w:rsidP="00550BA5">
      <w:pPr>
        <w:ind w:firstLine="142"/>
        <w:rPr>
          <w:sz w:val="20"/>
        </w:rPr>
      </w:pPr>
      <w:proofErr w:type="spellStart"/>
      <w:r>
        <w:rPr>
          <w:sz w:val="20"/>
        </w:rPr>
        <w:t>D.Stempere</w:t>
      </w:r>
      <w:proofErr w:type="spellEnd"/>
      <w:r>
        <w:rPr>
          <w:sz w:val="20"/>
        </w:rPr>
        <w:t xml:space="preserve"> 67095468</w:t>
      </w:r>
    </w:p>
    <w:p w14:paraId="73BAC357" w14:textId="77777777" w:rsidR="00D22C99" w:rsidRDefault="00D22C99" w:rsidP="00D22C99">
      <w:pPr>
        <w:ind w:firstLine="142"/>
        <w:rPr>
          <w:sz w:val="20"/>
        </w:rPr>
      </w:pPr>
      <w:r>
        <w:rPr>
          <w:sz w:val="20"/>
        </w:rPr>
        <w:t>Daira.Stempere@fm.gov.lv</w:t>
      </w:r>
    </w:p>
    <w:p w14:paraId="0824035A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678E" w14:textId="77777777" w:rsidR="00E62025" w:rsidRDefault="00E62025">
      <w:r>
        <w:separator/>
      </w:r>
    </w:p>
  </w:endnote>
  <w:endnote w:type="continuationSeparator" w:id="0">
    <w:p w14:paraId="0BB97CBC" w14:textId="77777777" w:rsidR="00E62025" w:rsidRDefault="00E6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573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6E040C8D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C62813F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3676" w14:textId="77777777" w:rsidR="0015384D" w:rsidRDefault="0015384D">
    <w:pPr>
      <w:pStyle w:val="Kjene"/>
      <w:jc w:val="center"/>
    </w:pPr>
  </w:p>
  <w:p w14:paraId="249222F6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4956" w14:textId="77777777" w:rsidR="00E62025" w:rsidRDefault="00E62025">
      <w:r>
        <w:separator/>
      </w:r>
    </w:p>
  </w:footnote>
  <w:footnote w:type="continuationSeparator" w:id="0">
    <w:p w14:paraId="5FFC2101" w14:textId="77777777" w:rsidR="00E62025" w:rsidRDefault="00E62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1141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C1AF8C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0876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58A0" w14:textId="77777777" w:rsidR="002C22B9" w:rsidRDefault="002C22B9">
    <w:pPr>
      <w:pStyle w:val="Galvene"/>
    </w:pPr>
  </w:p>
  <w:p w14:paraId="27AEA4DA" w14:textId="77777777" w:rsidR="002C22B9" w:rsidRDefault="002C22B9">
    <w:pPr>
      <w:pStyle w:val="Galvene"/>
    </w:pPr>
  </w:p>
  <w:p w14:paraId="71F717E8" w14:textId="77777777" w:rsidR="002C22B9" w:rsidRDefault="002C22B9">
    <w:pPr>
      <w:pStyle w:val="Galvene"/>
    </w:pPr>
  </w:p>
  <w:p w14:paraId="2F5D21E2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8CBAFE" wp14:editId="26EEAB05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09AA7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CBAF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54B09AA7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D23A553" wp14:editId="4B8A381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9A5A8" w14:textId="77777777" w:rsidR="002C22B9" w:rsidRDefault="002C22B9">
    <w:pPr>
      <w:pStyle w:val="Galvene"/>
    </w:pPr>
  </w:p>
  <w:p w14:paraId="7884ED9A" w14:textId="77777777" w:rsidR="002C22B9" w:rsidRDefault="002C22B9">
    <w:pPr>
      <w:pStyle w:val="Galvene"/>
    </w:pPr>
  </w:p>
  <w:p w14:paraId="1E9C2967" w14:textId="77777777" w:rsidR="002C22B9" w:rsidRDefault="002C22B9">
    <w:pPr>
      <w:pStyle w:val="Galvene"/>
    </w:pPr>
  </w:p>
  <w:p w14:paraId="67ED2304" w14:textId="77777777" w:rsidR="002C22B9" w:rsidRDefault="002C22B9">
    <w:pPr>
      <w:pStyle w:val="Galvene"/>
    </w:pPr>
  </w:p>
  <w:p w14:paraId="0F653F0D" w14:textId="77777777" w:rsidR="002C22B9" w:rsidRDefault="002C22B9">
    <w:pPr>
      <w:pStyle w:val="Galvene"/>
    </w:pPr>
  </w:p>
  <w:p w14:paraId="3A308D18" w14:textId="77777777" w:rsidR="002C22B9" w:rsidRDefault="002C22B9">
    <w:pPr>
      <w:pStyle w:val="Galvene"/>
    </w:pPr>
  </w:p>
  <w:p w14:paraId="73A1B479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95D8FE" wp14:editId="5FB2429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D956F3C" w14:textId="77777777" w:rsidR="002C22B9" w:rsidRDefault="002C22B9">
    <w:pPr>
      <w:pStyle w:val="Galvene"/>
    </w:pPr>
  </w:p>
  <w:p w14:paraId="08D90C38" w14:textId="77777777" w:rsidR="002C22B9" w:rsidRDefault="002C22B9">
    <w:pPr>
      <w:pStyle w:val="Galvene"/>
    </w:pPr>
  </w:p>
  <w:p w14:paraId="09B67566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35DA6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A36F3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14A6B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691C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4446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22C99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62025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2180E3D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D2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ese.Vanaga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noteikumu projekta saskaņošanu</dc:subject>
  <dc:creator>Vanaga I.</dc:creator>
  <dc:description>Sagatavots ALS E-aprites vidē.</dc:description>
  <cp:lastModifiedBy>Ilze Grandsberga</cp:lastModifiedBy>
  <cp:revision>2</cp:revision>
  <cp:lastPrinted>2007-06-25T10:49:00Z</cp:lastPrinted>
  <dcterms:created xsi:type="dcterms:W3CDTF">2021-09-10T11:38:00Z</dcterms:created>
  <dcterms:modified xsi:type="dcterms:W3CDTF">2021-09-10T11:38:00Z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