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23-TA-1256: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vienkāršoto izmaksu piemērošanas nosacījumus un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plašāku vienkāršoto izmaksu piemērošanu 5.1.1.5.pasākumā "Unikāla Eiropas mēroga kultūras mantojuma atjaunošana, lai veicinātu to pieejamību, attīstot kultūras pakalpojumus" (turpmāk - 5.1.1.5.pasākums), t.sk. vienkāršoto izmaksu piemērošanu personāla atlīdzības izmaksu segšanai, ņemot vērā vienkāršoto izmaksu izvērtējumā “Vienkāršoto izmaksu piemērošanas iespējas 2021.-2027. gada ES fondu plānošanas periodā” norādīto par augstu praktisku iespējamību piemērot vienkāršotās izmaksas minētajam pasākumam.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vienkāršoto izmaksu piemērošana nav iespējama, proti, nav iespējams nodrošināt vienādu pieeju vienādu izmaksu attiecināšanā visos šī pasākuma projektos vai vienkāršoto izmaksu piemērošana nenodrošinātu procesu vienkāršošanu un administratīvā sloga samazināšanu, lūdzam to aprakstīt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“5.1.1.5. pasākuma ietvaros nav iespējams nodrošināt vienotu pieeju personāla izmaksu piemērošanā dažāda apjoma būvniecības projektiem ar atšķirīgu gatavības pakāpi un plānoto īstenošanas laika periodu, kur projektu īstenošanai nepieciešama dažāda apjoma resursu iesaiste.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5.1.1.5. pasākuma ietvaros nav plānots piemērot citas vienkāršotās izmaksas. Ņemot vērā, ka kultūras mantojuma atjaunošanā un kultūras infrastruktūras būvniecībā netiek piemēroti standartizēti būvniecības risinājumi, papildus radot individuālu ēku dizainu un plānojumu, tai skaitā ievērojot Jaunā Eiropas Bauhaus principus, vienkāršoto izmaksu piemērošana nav iespējama.”.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vienkāršoto izmaksu piemērošanas nosacījumus un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īstenošanu nodrošina Kultūras ministrija kā atbildīgā iestāde (turpmāk – atbildīgā iestāde) un sadarbības iestādes funkcijas veic Centrālā finanšu un līgumu aģentūra (turpmāk – sadarbības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informāciju par sadarbības iestādi, jo tas jau ir noteikts Eiropas Savienības fondu 2021.—2027. gada plānošanas perioda vadības likumā un nav nepieciešams dublēt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īstenošanu nodrošina Kultūras ministrija kā atbildīgā iestāde (turpmāk – atbildīgā iestāde).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11.2.2. rezultāta rādītājs: atbalstīto kultūras un tūrisma vietu apmeklētāji – 969 687.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11.2.2. apakšpunktā norādītā rezultāta rādītāja "Atbalstīto kultūras un tūrisma vietu apmeklētāji" sasniedzamo vērtību atbilstoši ES kohēzijas politikas programmā 2021. -2027.gadam 5.1.1.SAM "Vietējās teritorijas integrētās sociālās, ekonomiskās un vides attīstības un kultūras mantojuma, tūrisma un drošības veicināšana pilsētu funkcionālajās teritorijās" (turpmāk - 5.1.1.SAM) plānotajam un atbilstoši rādītāju metodoloģiskajā aprakstā norādītajam, proti, ka minētā rādītāja sasniedzamā vērtība ir 902 000 apmeklētāji/gadā. Ja pasākuma īstenošanas ietvaros plānots sasniegt lielāku iepriekš minēto rādītāju, lūdzam ar atbilstošu informāciju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papildināt anotāciju ar informāciju par 5.1.1.SAM iznākuma rādītāja RCO 77 "Atbalstīto kultūras un tūrisma objektu skaits" un rezultātu rādītāja RCR 77 "Atbalstīto kultūras un tūrisma vietu apmeklētāji" sadalījumu pa pasākumiem, lai nodrošinātu informācijas izsekojamību, ar kuru pasākumu īstenošanu plānots nodrošināt ES kohēzijas politikas programmā 2021. - 2027.gadam 5.1.1.SAM noteikto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papildināt anotāciju ar precizējošu informāciju par noteikumu projekta 11.1.apakšpunktā norādītā rādītāja: "noslēgto līgumu īpatsvars par ieguldījumiem kultūras un tūrisma objektos" sasniedzamo vērtību līdz 2024. gada 31. decembrim. Vēršam uzmanību, ka no noteikumu projekta 11.1.apakšpunkta redakcijas nav viennozīmīgi saprotams, kāda veida līgumiem (piemēram, projektēšanas, ekspertīzes, būvdarbu, u.tml.) jābūt noslēgtiem un vai sasniegtās vērtības jāuzskaita projektu, pasākuma vai - kā norādīts 5.1.1. SAM rādītāju metodoloģijas aprakstā - specifiskā atbalsta mērķa līmenī.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Kultūras ministrija plāno sagatavot grozījumus Eiropas Savienības kohēzijas politikas programmā 2021. -2027.gadam, lai precizētu rādītāja “atbalstīto kultūras un tūrisma objektu skaits” plānoto sasniedzamo vērtību.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“Plānoto sasniedzamo rādītāju sadalījums pa 5.1.1. SAM pasākumiem:”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SAM ietvaros ir noteikts sasniedzamais rādītājs “Noslēgto līgumu par projektu īstenošanu īpatsvars par ieguldījumiem kultūras un tūrisma objektos”, rādītājs atspoguļo iznākuma rādītāja RCO 77 “Atbalstīto kultūras un tūrisma objektu skaits” ieviešanas progresu līdz 2024. gada beigām, kad plānots, ka 5.1.1. SAM ietvaros būs noslēgti līgumi par projektu īstenošanu vismaz par 10 procentiem no pasākumiem pieejamā finansējuma.”.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ņemot vērā plānoto 5.1.1.5., 5.1.1.6. un 5.1.1.7. pasākumu projektu īstenošanas laika grafiku, starpposma vērtību paredzēts sasniegt un izpildīt 5.1.1.7. pasākuma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11.2.2. rezultāta rādītājs: atbalstīto kultūras un tūrisma vietu apmeklētāji gadā – 827 000.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plānotais kopējais attiecināmais finansējums ir 33 712 500 </w:t>
            </w:r>
            <w:r w:rsidR="00000000" w:rsidRPr="00000000" w:rsidDel="00000000">
              <w:rPr>
                <w:i w:val="1"/>
                <w:rtl w:val="0"/>
              </w:rPr>
              <w:t xml:space="preserve">euro</w:t>
            </w:r>
            <w:r w:rsidR="00000000" w:rsidRPr="00000000" w:rsidDel="00000000">
              <w:rPr>
                <w:rtl w:val="0"/>
              </w:rPr>
              <w:t xml:space="preserve"> (tai skaitā elastības finansējuma apjoms – 5 317 315 </w:t>
            </w:r>
            <w:r w:rsidR="00000000" w:rsidRPr="00000000" w:rsidDel="00000000">
              <w:rPr>
                <w:i w:val="1"/>
                <w:rtl w:val="0"/>
              </w:rPr>
              <w:t xml:space="preserve">euro</w:t>
            </w:r>
            <w:r w:rsidR="00000000" w:rsidRPr="00000000" w:rsidDel="00000000">
              <w:rPr>
                <w:rtl w:val="0"/>
              </w:rPr>
              <w:t xml:space="preserve">), tai skaitā Eiropas Reģionālās attīstības fonda finansējums 28 655 625 </w:t>
            </w:r>
            <w:r w:rsidR="00000000" w:rsidRPr="00000000" w:rsidDel="00000000">
              <w:rPr>
                <w:i w:val="1"/>
                <w:rtl w:val="0"/>
              </w:rPr>
              <w:t xml:space="preserve">euro</w:t>
            </w:r>
            <w:r w:rsidR="00000000" w:rsidRPr="00000000" w:rsidDel="00000000">
              <w:rPr>
                <w:rtl w:val="0"/>
              </w:rPr>
              <w:t xml:space="preserve"> (tai skaitā elastības finansējuma apjoms – 4 519 718 </w:t>
            </w:r>
            <w:r w:rsidR="00000000" w:rsidRPr="00000000" w:rsidDel="00000000">
              <w:rPr>
                <w:i w:val="1"/>
                <w:rtl w:val="0"/>
              </w:rPr>
              <w:t xml:space="preserve">euro</w:t>
            </w:r>
            <w:r w:rsidR="00000000" w:rsidRPr="00000000" w:rsidDel="00000000">
              <w:rPr>
                <w:rtl w:val="0"/>
              </w:rPr>
              <w:t xml:space="preserve">) un nacionālais finansējums (valsts budžeta līdzfinansējums un pašvaldības līdzfinansējums) – ne mazāk kā 5 056 875 </w:t>
            </w:r>
            <w:r w:rsidR="00000000" w:rsidRPr="00000000" w:rsidDel="00000000">
              <w:rPr>
                <w:i w:val="1"/>
                <w:rtl w:val="0"/>
              </w:rPr>
              <w:t xml:space="preserve">euro</w:t>
            </w:r>
            <w:r w:rsidR="00000000" w:rsidRPr="00000000" w:rsidDel="00000000">
              <w:rPr>
                <w:rtl w:val="0"/>
              </w:rPr>
              <w:t xml:space="preserve"> (tai skaitā elastības finansējuma apjoms – 797 597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20.punkts paredz, ka finansējuma saņēmēji pasākuma ietvaros būs Rīgas valstspilsētas pašvaldība un valsts akciju sabiedrība "Valsts nekustamie īpašumi", ir precizējama noteikumu projekta 12.punkta redakcija, skaidri nodalot nacionālā līdzfinansējuma apmēru pa finansējumu avotiem, vienlaikus anotācijā norādot, par kādu valsts pārvaldes deleģēto uzdevumu izpildi valsts budžeta līdzfinansējums paredzams valsts akciju sabiedrībai "Valsts nekustamie īpašumi”. Vienlaikus lūdzam svītrot noteikumu projekta 12.punktā vārdus "ne mazāk kā" pirms nacionālā finansējuma apmēra.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sabiedrībai “Valsts nekustamie īpašumi” par valsts pārvaldes deleģēto uzdevumu izpildi (valsts nekustamā īpašuma pārvaldība un valsts nekustamā īpašuma attīstības vadība) paredzams valsts budžeta līdzfinansējums.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plānotais kopējais attiecināmais finansējums ir 33 712 500 </w:t>
            </w:r>
            <w:r w:rsidR="00000000" w:rsidRPr="00000000" w:rsidDel="00000000">
              <w:rPr>
                <w:i w:val="1"/>
                <w:rtl w:val="0"/>
              </w:rPr>
              <w:t xml:space="preserve">euro</w:t>
            </w:r>
            <w:r w:rsidR="00000000" w:rsidRPr="00000000" w:rsidDel="00000000">
              <w:rPr>
                <w:rtl w:val="0"/>
              </w:rPr>
              <w:t xml:space="preserve"> (tai skaitā elastības finansējuma apjoms – 5 317 315 </w:t>
            </w:r>
            <w:r w:rsidR="00000000" w:rsidRPr="00000000" w:rsidDel="00000000">
              <w:rPr>
                <w:i w:val="1"/>
                <w:rtl w:val="0"/>
              </w:rPr>
              <w:t xml:space="preserve">euro</w:t>
            </w:r>
            <w:r w:rsidR="00000000" w:rsidRPr="00000000" w:rsidDel="00000000">
              <w:rPr>
                <w:rtl w:val="0"/>
              </w:rPr>
              <w:t xml:space="preserve">), tai skaitā Eiropas Reģionālās attīstības fonda finansējums 28 655 625 </w:t>
            </w:r>
            <w:r w:rsidR="00000000" w:rsidRPr="00000000" w:rsidDel="00000000">
              <w:rPr>
                <w:i w:val="1"/>
                <w:rtl w:val="0"/>
              </w:rPr>
              <w:t xml:space="preserve">euro</w:t>
            </w:r>
            <w:r w:rsidR="00000000" w:rsidRPr="00000000" w:rsidDel="00000000">
              <w:rPr>
                <w:rtl w:val="0"/>
              </w:rPr>
              <w:t xml:space="preserve"> (tai skaitā elastības finansējuma apjoms – 4 519 718 </w:t>
            </w:r>
            <w:r w:rsidR="00000000" w:rsidRPr="00000000" w:rsidDel="00000000">
              <w:rPr>
                <w:i w:val="1"/>
                <w:rtl w:val="0"/>
              </w:rPr>
              <w:t xml:space="preserve">euro</w:t>
            </w:r>
            <w:r w:rsidR="00000000" w:rsidRPr="00000000" w:rsidDel="00000000">
              <w:rPr>
                <w:rtl w:val="0"/>
              </w:rPr>
              <w:t xml:space="preserve">) un nacionālais finansējums (valsts budžeta līdzfinansējums 4 174 522 </w:t>
            </w:r>
            <w:r w:rsidR="00000000" w:rsidRPr="00000000" w:rsidDel="00000000">
              <w:rPr>
                <w:i w:val="1"/>
                <w:rtl w:val="0"/>
              </w:rPr>
              <w:t xml:space="preserve">euro</w:t>
            </w:r>
            <w:r w:rsidR="00000000" w:rsidRPr="00000000" w:rsidDel="00000000">
              <w:rPr>
                <w:rtl w:val="0"/>
              </w:rPr>
              <w:t xml:space="preserve"> un pašvaldības līdzfinansējums 882 353 </w:t>
            </w:r>
            <w:r w:rsidR="00000000" w:rsidRPr="00000000" w:rsidDel="00000000">
              <w:rPr>
                <w:i w:val="1"/>
                <w:rtl w:val="0"/>
              </w:rPr>
              <w:t xml:space="preserve">euro</w:t>
            </w:r>
            <w:r w:rsidR="00000000" w:rsidRPr="00000000" w:rsidDel="00000000">
              <w:rPr>
                <w:rtl w:val="0"/>
              </w:rPr>
              <w:t xml:space="preserve">) – 5 056 875 </w:t>
            </w:r>
            <w:r w:rsidR="00000000" w:rsidRPr="00000000" w:rsidDel="00000000">
              <w:rPr>
                <w:i w:val="1"/>
                <w:rtl w:val="0"/>
              </w:rPr>
              <w:t xml:space="preserve">euro</w:t>
            </w:r>
            <w:r w:rsidR="00000000" w:rsidRPr="00000000" w:rsidDel="00000000">
              <w:rPr>
                <w:rtl w:val="0"/>
              </w:rPr>
              <w:t xml:space="preserve"> (tai skaitā elastības finansējuma apjoms – 797 597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Pašvaldībai, kuras teritorijā īsteno projektu, projekta iesnieguma iesniegšanas dienā ir apstiprināta pašvaldības attīstības programma, un projektā plānotās investīcijas sniedz ieguldījumu pašvaldības attīstības programmā noteikto rīcības virzienu ilgtermiņa mērķu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norāda, ka atbilstoši Ministru kabineta 2014.gada 14.oktobra noteikumiem Nr.628 “Noteikumi par pašvaldību teritorijas attīstības plānošanas dokumentiem” pašvaldības attīstības programmā ietilpst stratēģiskā daļa, kurā ietvertas vidēja termiņa prioritātes un rīcības virzieni (pasākumu kopums); rīcības plāns un investīciju plāns, kurus izstrādā ne mazāk kā triju gadu periodam; attīstības programmas īstenošanas uzraudzības un novērtēšanas kārtība, kurā noteikti rezultatīvie rādītāji un uzraudzības pārskata sniegšanas biežums un saturs. Līdz ar to nepieciešams precizēt noteikumu projekta 27.punkta redakciju, lai ir skaidrs pasākuma īstenošanas nosacījums – ko KM sagaida no pašvaldību attīstības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Pašvaldībai, kuras teritorijā īsteno projektu, projekta iesnieguma iesniegšanas dienā ir apstiprināta pašvaldības attīstības programma, un projektā plānotās investīcijas sniedz ieguldījumu pašvaldības attīstības programmā noteikto rīcības virzienu īstenošanā.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Projekta iesniedzējs veic izmaksu un ieguvumu analīzi atbilstoši sadarbības iestādes izstrādātajiem metodiskajiem norādījumiem, ievērojot, ka projekta ekonomiskā ienesīguma norma ir lielāka par sociālo diskonta likmi un projekta ekonomiskā neto pašreizējā vērtība ir lielāka par nulli.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28.punktā svītrot "atbilstoši sadarbības iestādes izstrādātajiem metodiskajiem norādījumiem", jo MK noteikumumu "Kārtība, kādā Eiropas Savienības fondu vadībā iesaistītās institūcijas nodrošina šo fondu ieviešanu 2021.–2027.gada plānošanas periodā" anotācijā noteikts (patreizējai redakcijai): "Ja specifiskā atbalsta mērķa vai pasākuma īstenošanu regulējošie MK noteikumi paredz, ka projektā ir jāveic izmaksu un ieguvumu analīze, Sadarbības iestāde nodrošina finansējuma saņēmējam metodoloģisku atbalstu, kā arī nodrošina izmaksu un ieguvumu analīzes veidnes izstrādi un pielāgošanu attiecīgā specifiskā atbalsta mērķa vajadzībām, veicot to sadarbībā ar atbildīgo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Projekta iesniedzējs veic izmaksu un ieguvumu analīzi </w:t>
            </w:r>
            <w:r w:rsidR="00000000" w:rsidRPr="00000000" w:rsidDel="00000000">
              <w:rPr>
                <w:strike w:val="1"/>
                <w:rtl w:val="0"/>
              </w:rPr>
              <w:t xml:space="preserve">atbilstoši sadarbības iestādes izstrādātajiem metodiskajiem norādījumiem</w:t>
            </w:r>
            <w:r w:rsidR="00000000" w:rsidRPr="00000000" w:rsidDel="00000000">
              <w:rPr>
                <w:rtl w:val="0"/>
              </w:rPr>
              <w:t xml:space="preserve">, ievērojot, ka projekta ekonomiskā ienesīguma norma ir lielāka par sociālo diskonta likmi un projekta ekonomiskā neto pašreizējā vērtība ir lielāka par nulli.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saņēmējs veic izmaksu un ieguvumu analīzi, ievērojot, ka projekta ekonomiskā ienesīguma norma ir lielāka par sociālo diskonta likmi un projekta ekonomiskā neto pašreizējā vērtība ir lielāka par nulli.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Finansējuma saņēmējs un sadarbības partneris: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iekļaut pienākumu finansējuma saņēmējam un aicinām arī sadarbības partneriem izstrādāt nosacījumus, kā  pārliecinās par interešu konflikta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pantā noteikto), krāpšanas un korupcijas risku neesamību, kā arī, noteikt, ka finansējuma saņēmējs paraksta apliecinājumu par interešu konflikta neesamību.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32.8.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 nodrošina interešu konflikta neesību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61.panta prasībām, kā arī paraksta interešu konflikta neesības apliecinājumu.”.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Finansējuma saņēmējs un sadarbības partneris: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32.3.1. "Vienlīdzība, iekļaušana, nediskriminācija un pamattiesību ievērošana" rādītāju – objektu skaits, kuros Eiropas Reģionālās attīstības fonda ieguldījumu rezultātā ir nodrošināta vides un informācijas pieejamība;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horizontālā principa "Vienlīdzība, iekļaušana, nediskriminācija un pamattiesību ievērošana" (turpmāk – HP VINPI) rādītāju, ņemot vērā, ka 5.1.1.5 pasākumam ir netieša ietekme uz minēto horizontālo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HP VINPI rādītāji noteikti Labklājības ministrijas un Tieslietu ministrijas kopīgi izstrādāto vadlīniju “Horizontālais princips "Vienlīdzība, iekļaušana, nediskriminācija un pamattiesību ievērošana” īstenošanas un uzraudzības (2021-2027) 4.pielikumā; pieejamas tīmekļa vietnē: 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31.3. apakšpunktā noteikts horizontālā principa “Vienlīdzība, iekļaušana, nediskriminācija un pamattiesību ievērošana” rādītājs – objektu skaits, kuros Eiropas Reģionālās attīstības fonda ieguldījumu rezultātā ir nodrošināta vides un informācijas pieejamība.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Projektā iekļauj atbalstāmās darbības, kas sekmē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minētā specifiskā atbalsta mērķa un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uzraudzības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paredzot, ka atbalstāmās darbības sekmē arī 32.3. apakšpunktā minētā horizontālā principa "Vienlīdzība, iekļaušana, nediskriminācija un pamattiesību ievērošana" rādītāja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Projektā iekļauj atbalstāmās darbības, kas sekmē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minētā specifiskā atbalsta mērķa un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32.3. </w:t>
            </w:r>
            <w:r w:rsidR="00000000" w:rsidRPr="00000000" w:rsidDel="00000000">
              <w:rPr>
                <w:rtl w:val="0"/>
              </w:rPr>
              <w:t xml:space="preserve">apakšpunktā</w:t>
            </w:r>
            <w:r w:rsidR="00000000" w:rsidRPr="00000000" w:rsidDel="00000000">
              <w:rPr>
                <w:rtl w:val="0"/>
              </w:rPr>
              <w:t xml:space="preserve"> minēto uzraudzības rādītāju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netiešo izmaksu vienoto likmi nepiemērojot projektiem, kas kvalificējami kā valsts atbalsts komercdarbībai.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viena pasākuma ietvaros nav atbalstāma atšķirīga pieeja vienādu izmaksu attiecināšanā, līdz ar to lūdzam veikt atbilstošus precizējumus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35.1., 35.2. un 35.3. apakšpunkts svītrots.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projekta vadības personāla atlīdzības izmaksas, kas tieši saistītas ar projektu īstenošanu un mērķa sasniegšanu un radušās uz darba līguma vai uzņēmuma līguma (pakalpojuma līguma) pamata, tai skaitā valsts sociālās apdrošināšanas obligātās iemaksas no apliekamajām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sniegto informāciju, turpinām uzturēt iepriekšējā Finanšu ministrijas atzinumā izteikto iebildumu un lūdzam izvērtēt iespēju izstrādāt un piemērot vienkāršotās izmaksas personāla atlīdzības izmaksu segšanai saskaņā ar Finanšu ministrijas vadlīnijām Nr.1.1. "Vadlīnijas par vienkāršoto izmaksu izmantošanas iespējām un to piemērošana Eiropas Savienības kohēzijas politikas programmas 2021.–2027.gadam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 pakalpojuma līguma izmaksām netiek aprēķināta 35.punktā minētā netiešo izmaksu vienotā likme. Līdz ar to lūdzam izvērtēt un attiecīgi precizēt 35.punkta vai 36.1.apakšpunkta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 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Projekta netiešās attiecināmās izmaksas plāno kā vienu izmaksu pozīciju, piemērojot netiešo izmaksu vienoto likmi 15 procentu apmērā no šo noteikumu 36.1. apakšpunktā minētajām izmaksām, izņemot pakalpojuma līguma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izmaksu vienoto likmi  personāla izmaksām nav iespējams piemērot, jo 5.1.1.5. pasākuma ietvaros plānoti dažāda finansējuma apjoma projekti ar atšķirīgu plānoto projekta īstenošanas ilgumu, savukārt vienas vienības izmaksu standarta likmi personāla atlīdzības izmaksu segšanai nav iespējams piemērot, jo pasākuma ietvaros ir atšķirīgi projekta īstenotāji - pašvaldība un valsts akciju sabiedrība “Valsts nekustamie īpašumi”, kur katram projekta īstenotājam atlīdzības apmēru reglamentē atbilstošs normatīvais regulējums. Attiecīgi uz valsts akciju sabiedrība “Valsts nekustamie īpašumi” neattiecas pašvaldības atalgojuma likmes un otrādāk.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projekta vadības personāla atlīdzības izmaksas, kas tieši saistītas ar projektu īstenošanu un mērķa sasniegšanu un radušās uz darba līguma vai uzņēmuma līguma (pakalpojuma līguma) pamata, tai skaitā valsts sociālās apdrošināšanas obligātās iemaksas no apliekamajām 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projektu pamatojošās dokumentācijas sagatavošanas izmaksas, izņemot projekta iesnieguma veidlapas aizpildīšanas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Vadošās iestādes vadlīniju Nr.1.2. "Vadlīnijas attiecināmo izmaksu noteikšanai Eiropas Savienības kohēzijas politikas programmas 2021.-2027.gada plānošanas periodā" 10.2.apakšpunktā noteikts šādi: "Projekta iesnieguma pamatojošās dokumentācijas sagatavošanas izmaksas, būvuzraudzības, autoruzraudzības, būvprojekta tehniskā projekta vai skiču projekta stadijā izmaksas, energosertifikācijas un energoaudita izmaksas kopā ir attiecināmas</w:t>
            </w:r>
            <w:r w:rsidR="00000000" w:rsidRPr="00000000" w:rsidDel="00000000">
              <w:rPr>
                <w:b w:val="1"/>
                <w:rtl w:val="0"/>
              </w:rPr>
              <w:t xml:space="preserve"> līdz 10%</w:t>
            </w:r>
            <w:r w:rsidR="00000000" w:rsidRPr="00000000" w:rsidDel="00000000">
              <w:rPr>
                <w:rtl w:val="0"/>
              </w:rPr>
              <w:t xml:space="preserve"> no projekta kopējām attiecināmajām izmaksām, ja tas ir noteikts Ministru kabineta noteikumos par specifiskā atbalsta mērķa īstenošanu (t.sk. veicot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nodrošināt minētā ierobežojuma iekļaušanu 5.1.1.5.pasākuma noteikumu projektā, kā arī salāgot informāciju ar anotācijā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projektu pamatojošās dokumentācijas sagatavošanas izmaksas, izņemot projekta iesnieguma veidlapas aizpildīšanas izmaksas, nepārsniedzot 10 procentus no projekta kopējām 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Neparedzētie izdevumi nepārsniedz piecus procentus no projekta kopējām tiešajām attiecināmajām izmaksām, un to izlietošanu finansējuma saņēmējs saskaņo ar sadarbības iestādi, ievērojot vienošanos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vadlīniju Nr.1.2. "Vadlīnijas attiecināmo izmaksu noteikšanai Eiropas Savienības kohēzijas politikas programmas 2021. - 2027.gada plānošanas periodā" 12.2.apakšpunktu, atbildīgā iestāde izvērtē katram specifiskajam atbalsta mērķim (turpmāk - SAM) vai tā atlases kārtai nepieciešamo procentuālo neparedzēto izdevumu apmēru atkarībā no tā, cik apjomīgus un sarežģītus projektus paredzēts īstenot attiecīgajā SAM, un nosaka to Ministru kabineta (turpmāk - MK) noteikumos par SAM īstenošanu. Procentuālajam neparedzēto izdevumu apmēram, kas iekļauts MK noteikumos par SAM īstenošanu, ir jābūt pamatotam un balstītam uz lietderības un efektivitātes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sniegt izvērstāku pamatojumu anotācijā, kāpēc tika izvēlēts tieši šāds neparedzēto izdevumu apjoms (5%).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Ministru kabineta 2017.gada 3.maija noteikumi Nr. 239 “Noteikumi par Latvijas būvnormatīvu LBN 501-17 "Būvizmaksu noteikšanas kārtība"" nosaka, ka  būvniecības koptāmē ietver pasūtītāja finanšu rezervi neparedzētiem darbiem un izdevumiem – būvdarbu izpildes laikā atklātu nepieciešami veicamo darbu un sadārdzinājuma finansēšanai, Projekts nosaka, ka neparedzētie izdevumi nepārsniedz piecus procentus no projekta kopējām tiešajām attiecināmajām izmaksām. Neparedzēto izdevumu piecu procentu apmērs noteikts, ņemot vērā būvniecības praksi.”.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Neparedzētie izdevumi nepārsniedz piecus procentus no projekta kopējām tiešajām attiecināmajām izmaksām, un to izlietošanu finansējuma saņēmējs saskaņo ar sadarbības iestādi, ievērojot vienošanos par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Valsts atbalsta komercdarbībai saņemšanas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Sadarbības iestādei projekta dzīves cikla laikā ir jāuzrauga, vai nesaimniecisks projekts nekļūst par valsts atbalsta projektu, lūdzam MK noteikumos iekļaut sekojošu punktu: "Projekta pārskata periodā (projekta dzīves cikla laikā) finansējuma saņēmējs atbilstoši Kultūras ministrijas izstrādātajai komercdarbības atbalsta piemērošanas metodikai kultūras nozares projektiem specifiskā atbalsta ietvaros reizi gadā līdz kārtējā gada 1. jūnijam iesniedz sadarbības iestādē informāciju, kas nepieciešama, lai izvērtētu, vai projekts atbilst šo noteikumu 43. punktā minētajiem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44.punktu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Projekta pārskata periodā finansējuma saņēmējs atbilstoši Kultūras ministrijas izstrādātajai komercdarbības atbalsta piemērošanas metodikai kultūras nozares projektiem specifiskā atbalsta ietvaros reizi gadā līdz kārtējā gada 1. jūnijam iesniedz sadarbības iestādē informāciju, kas nepieciešama, lai izvērtētu, vai projekts atbilst šo noteikumu 43. punktā minētajiem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Komercdarbības atbalsta saņemšanas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Projekta pārskata periodā finansējuma saņēmējs atbilstoši Kultūras ministrijas izstrādātajai komercdarbības atbalsta piemērošanas metodikai kultūras nozares projektiem specifiskā atbalsta ietvaros reizi gadā līdz kārtējā gada 1. jūnijam iesniedz sadarbības iestādē informāciju, kas nepieciešama, lai izvērtētu, vai projekts atbilst šo noteikumu 43. punktā minētajiem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gan komercdarbības atbalsta, gan komercdarbības atbalsta izslēdzošie nosacījumi ir jāuzrauga visu ieguldījumu amortizācijas periodu (projekta dzīves ciklu), lūdzam precizēt noteikumu projektu un sniegt anotācijā skaidrojumu, jo ar projekta pārskata periodu var saprast fondu uzraudzības piecu gadu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uzraudzību jānodrošina visā projekta pārskata periodā, projektā lietotais jēdziens “projekta pārskata periods” termiņa ziņā ir pielīdzināms projekta dzīves cikla laikam atbilstoši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I pielikumā noteiktajam aktīvu amortizācijas perioda ilgumam.”.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Projekta pārskata periodā finansējuma saņēmējs atbilstoši Kultūras ministrijas izstrādātajai komercdarbības atbalsta piemērošanas metodikai kultūras nozares projektiem specifiskā atbalsta ietvaros reizi gadā līdz kārtējā gada 1. jūnijam iesniedz sadarbības iestādē informāciju, kas nepieciešama, lai izvērtētu, vai projekts atbilst šo noteikumu 43. punktā minētajiem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Atbalstītajā objektā pieļaujams veikt papildinošu saimniecisko darbību 20 procentu apmērā no infrastruktūras gada jaudas platības, laika vai finanšu izteiksmē tiktāl, ciktāl šī saimnieciskā darbība ir nepieciešama un saistīta ar funkcijas vai deleģēta pārvaldes uzdevuma veikšanu un  nav pretrunā ar  kultūras mantojuma saglabāšanas principiem, lai atbalsts pasākuma ietvaros netiktu kvalificēts kā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komercdarbības atbalsta izslēdzošie nosacījumi jau ir ietverti noteikumu projekta 43.punktā, lūdzam izvērtēt šī nosacījuma nepieciešamību. Ja tiek lemts par šī nosacījuma nepieciešamību, lūdzam attiecīgi precēt normu tā, lai skaidrs, ka tā attiecas tikai uz noteikumu projekta 43.1.punktā minēto gadījumu.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49.punkts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par sniegto skaidrojumu vienkāršoto izmaksu nepiemērošanai, taču lūdzam to papildināt/stiprināt, iekļaujot tajā plašāku argumentācijas izklāstu, īpaši attiecībā uz vienkāršoto izmaksu piemērošanas iespējām personāla izmaksām vai izvērtēt iespēju piemērot vienkāršotās izmaksas, piemēram, vienības izmaksu standarta likmi personāla atlīdzības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izmaksu vienoto likmi personāla izmaksām nav iespējams piemērot, jo 5.1.1.5. pasākuma ietvaros plānoti dažāda apjoma projekti ar atšķirīgu plānoto projekta īstenošanas ilgumu, savukārt vienas vienības izmaksu standarta likmi personāla atlīdzības izmaksu segšanai nav iespējams piemērot,  jo pasākuma ietvaros ir atšķirīgi projekta īstenotāji - pašvaldība un valsts akciju sabiedrība “Valsts nekustamie īpašumi”, kur katram projekta īstenotājam atlīdzības apmēru reglamentē atbilstošs normatīvais regulējums. Attiecīgi uz valsts akciju sabiedrība “Valsts nekustamie īpašumi” neattiecas pašvaldības atalgojuma likmes un otrādāk.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anotāciju ar pamatojumu valsts budžeta līdzfinansējuma paredzēšanai valsts akciju sabiedrībai "Valsts nekustamie īpašumi” par kultūras nozares deleģētās funkcijas īstenošanu atjaunojamajos objektos.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“Valsts nekustamie īpašumi” pārvalda  ēku Lielā ģilde, kas nodota bezatlīdzības lietošanā valsts sabiedrībai ar ierobežotu atbildību “Latvijas Nacionālais simfoniskais orķestris” un izstāžu zāli “Arsenāls”.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“Latvijas Nacionālais simfoniskais orķestris” atbilstoši ar Kultūras ministriju noslēgtajiem līdzdarbības līgumiem par atsevišķu valsts pārvaldes uzdevumu deleģēšanu kultūras jomā nodrošina profesionālās mūzikas mākslas daudzveidību un pieejamību visiem sabiedrības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Atjaunojot izstāžu zāli “Arsenāls”, tajā tiks nodrošināta Latvijas Nacionālā mākslas muzeja, kas ir kultūras ministra pakļautībā esoša tiešās pārvaldes iestāde, filiāles darbība. Muzeja darbības mērķis ir izglītot sabiedrību un rosināt tās interesi par Latvijas un pasaules vizuālās mākslas, dekoratīvās mākslas un dizaina liecībām to vēsturiskajās un mākslinieciskajās izpausmēs, akcentējot nacionālās mākslas skolas vietu kultūras vēsturē un laikmetīgajos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anotāciju ar jaunu punktu šādā redakcijā: “Kultūras ministrija un Vides aizsardzības un reģionālās attīstības ministrija Informatīvā ziņojuma par priekšlikumiem teritoriālās pieejas piemērošanai Eiropas Savienības fondu 2021.-2027.gada plānošanas perioda specifiskajos atbalsta mērķos un to pasākumos (23-TA-117) (turpmāk – informatīvais ziņojums) projekta saskaņošanas procesā vienojas par teritoriālās pieejas piemērošanas veidu 5.1.1.5.pasākuma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papildus informē, ka informatīvā ziņojuma projektā tā piedāvā iekļaut 5.1.1.5.pasākumu kā pasākumu, kas īstenojams ar teritoriālo pieeju. Teritoriālās pieejas veids - Rīgas valstspilsēta atbilstoši Ministru kabineta noteikumos par 5.1.1.5.pasākuma īstenošanu  noteiktajam. Tuvākajā laikā VARAM nosūtīs KM izskatīšanai precizēto informatīvā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un Vides aizsardzības un reģionālās attīstības ministrija Informatīvā ziņojuma par priekšlikumiem teritoriālās pieejas piemērošanai Eiropas Savienības fondu 2021.-2027.gada plānošanas perioda specifiskajos atbalsta mērķos un to pasākumos (23-TA-117) projekta saskaņošanas procesā vienojas par teritoriālās pieejas piemērošanas veidu 5.1.1.5. pasākuma īstenošanā, nosakot teritoriālās pieejas veids – Rīgas valstspilsēta atbilstoši Ministru kabineta noteikumos par 5.1.1.5. pasākuma īstenošanu  noteiktajam.”.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visā anotācijas tekstā vārdu “pieejamība” aizstāt ar vārdu “piekļūstamība”. Vēršam uzmanību, ka, atbilstoši Latvijas Zinātņu akadēmijas Terminoloģijas komisijas lēmumam, ārējos un iekšējos normatīvajos aktos tiek lietots termins “piekļūstamība” (no angļu val. “accessibility”). Šāds termins lietots arī Preču un pakalpojumu piekļūstamības likumā, apzīmējot piekļūstamības prasības videi, informācijai, precēm  un pakalpojumiem, lai tie būtu ērti lietojami ikvienam, tai skaitā cilvēkiem ar dažāda veida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papildināt anotāciju ar informāciju, ka, veidojot kultūras infrastruktūru un pakalpojumus, tiks nodrošinātas ANO Konvencijā par personu ar invaliditāti tiesībām noteiktās personu ar invaliditāti tiesības piedalīties kultūras dzīvē vienlīdzīgi ar citiem,veicot atbilstošus pasākumus, kas nodrošina, ka kultūras materiāli ir piekļūstamos formātos un teātris un kultūras pasākumu vai pakalpojumu vietas ir piekļūstamas cilvēkiem ar redzes, dzirdes, kustību vai garīga rakstura traucējumiem, vecāka gadagājuma cilvēkiem, cilvēkiem ar uztveres īpatnībām, lasīšanas grūtībām, autiskā spektra traucējumiem, kā arī cilvēkiem ar viegliem vai pārejošiem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un tā anotācijā vārds “pieejamība” aizstāts ar vārdu “piekļūstamība”.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kultūras infrastruktūru un pakalpojumus, tiks nodrošinātas Apvienoto Nāciju Organizācijas Konvencijā par personu ar invaliditāti tiesībām noteiktās personu ar invaliditāti tiesības piedalīties kultūras dzīvē vienlīdzīgi ar citiem, veicot atbilstošus pasākumus, kas nodrošina, ka kultūras materiāli ir piekļūstamos formātos un teātris un kultūras pasākumu vai pakalpojumu vietas ir piekļūstamas cilvēkiem ar redzes, dzirdes, kustību vai garīga rakstura traucējumiem, vecāka gadagājuma cilvēkiem, cilvēkiem ar uztveres īpatnībām, lasīšanas grūtībām, autiskā spektra traucējumiem, kā arī cilvēkiem ar viegliem vai pārejošiem funkcionēšanas ierobežojumiem.”.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no kādiem līdzekļiem tiks nodrošināta projektu ietvaros sasniegto rezultātu/ rādītāju ilgtspēja un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ka pašvaldībai, kuras teritorijā īsteno projektu, projekta iesnieguma iesniegšanas dienā ir apstiprināta pašvaldības attīstības programma, un projektā plānotās investīcijas sniedz ieguldījumu pašvaldības attīstības programmā noteikto rīcības virzienu ilgtermiņa mērķu sasniegšanā, kā arī projekta iesnieguma iesniegšanas dienā ir apstiprināta objektu darbības stratēģija vai publiskās ārtelpas apraksts, kas pamato objekta attīstības sociālekonomiskos ieguvumus un paredz objekta uzturēšanu ilgtermiņā, tai skaitā, paredzot veicināt vietējo iedzīvotāju sociālo iekļaušanu. Paredzot objekta uzturēšanu ilgtermiņā finansējuma saņēmējs norāda plānotos finanšu avotus.”.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 pasākuma ietvaros plānotie projekti un to ietvaros plānotās darbības veicinās Eiropas Savienības stratēģijā Baltijas jūras reģionam (ESSBJR) noteikto mērķu sasniegšanu, ņemot vērā Eiropas Savienības kohēzijas politikas programmā 2021-2027.gadam norādīto par 5.1.1.specifiskā atbalsta mērķa “Vietējās teritorijas integrētās sociālās, ekonomiskās un vides attīstības un kultūras mantojuma, tūrisma un drošības veicināšana pilsētu funkcionālajās teritorijās” sasaisti ar ESSBJR.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projekti un to ietvaros plānotās darbības veicinās Eiropas Savienības stratēģijā Baltijas jūras reģionam (ESSBJR) noteikto mērķu “Kultūra” sasniegšanu, nodrošinot  Baltijas jūras reģiona kultūras mantojuma saglabāšanu un reģionālās identitātes stiprināšanu.”.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Revīzijas palātas īpašā ziņojuma “ES ieguldījumi kultūras objektos: jautājums, kas pelnījis lielāku vērību un koordināciju” (EU investments in cultural sites: a topic that deserves more focus and coordination; 04.06.2020) izteikto ieteikumu “Stiprināt ERAF finansēto kultūras vietu finansiālo ilgtspēju, vadošajām iestādēm jāpārbauda, vai finansējuma saņēmējiem ir nepieciešamie finanšu resursi un mehānismi darbības un uzturēšanas izmaksu segšanai.”, lūdzam papildināt anotāciju ar informāciju, kā plānots nodrošināt ieteikumā minēto, ka pēc ES fondu ieguldījumiem kultūras objektos tie kļūtu pašpietiekamāki uzturēšanas resursu ziņā.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objekta pašpietiekamība un ilgtspēja tiks vērtēta atbilstoši objekta darbības stratēģijai.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ka pašvaldībai, kuras teritorijā īsteno projektu, projekta iesnieguma iesniegšanas dienā ir apstiprināta pašvaldības attīstības programma, un projektā plānotās investīcijas sniedz ieguldījumu pašvaldības attīstības programmā noteikto rīcības virzienu ilgtermiņa mērķu sasniegšanā, kā arī projekta iesnieguma iesniegšanas dienā ir apstiprināta objektu darbības stratēģija vai publiskās ārtelpas apraksts, kas pamato objekta attīstības sociālekonomiskos ieguvumus un paredz objekta uzturēšanu ilgtermiņā, tai skaitā, paredzot veicināt vietējo iedzīvotāju sociālo iekļaušanu. Paredzot objekta uzturēšanu ilgtermiņā, finansējuma saņēmējs norāda plānotos finanšu avotus.”.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13.punktu projektu iesniegumos pasākuma īstenošanai kopējo pasākuma pieejamo finansējumu plāno ne vairāk kā 28 395 185 euro apmērā, tai skaitā Eiropas Reģionālās attīstības fonda finansējumu – 24 135 907 euro apmērā un nacionālo finansējumu (valsts budžeta un pašvaldības budžeta līdzfinansējums)  – 4 259 278 euro apmērā. Projekta iesniedzēji ir Rīgas valstspilsētas pašvaldība un valsts akciju sabiedrība  "Valsts nekustamie īpašumi", tomēr anotācijas III sadaļā nacionālais finansējums ir norādīts tikai pie pašvaldības budžeta izdevumiem. Ievērojot minēto, lūdzam precizēt anotācijas III sadaļā noteikumu projekta ietekmi uz pašvaldības budžetiem vai attiecīgi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pasākuma ietvaros plānoto finansējuma saņēmēju loku - Rīgas valstspilsētas pašvaldība un valsts akciju sabiedrība “Valsts nekustamie īpašumi”, anotācijā ir precizējams nacionālā līdzfinansējuma apmērs pa finansējuma avotiem 3.1. un 3.3.apakšpunktā.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III sadaļas informācija par finansējuma sadalījumu pa avotiem, tai skaitā 3.1. un 3.3. apakšpunktā.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ministriju, kura lūgs veikt nepieciešamā finansējuma pārdali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lūgs veikt nepieciešamā finansējuma pārdali no 74.resora "Gadskārtējā valsts budžeta izpildes procesā pārdalāmais finansējums" 80.00.00 programmas "Nesadalītais finansējums Eiropas Savienības politiku instrumentu un pārējās ārvalstu finanšu palīdzības līdzfinansēto projektu un pasākumu īstenošanai.”.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par pasākuma ietekmes uz personu ar invaliditāti vienlīdzīgām iespējām un tiesībām aprakstu atbilstoši LM/TM vadlīnijām [1], papildinot ar  horizontālā principa "Vienlīdzība, iekļaušana, nediskriminācija un pamattiesību ievērošana" vispārīgo un specifisko darbību aprakstu.  Vienlaikus informāciju par HP darbībām lūdzam salāgot ar 27.04.2023. apakškomitejas sēdē saskaņoto kritēriju vērtēšanas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“Horizontālais princips “Vienlīdzība, iekļaušana, nediskriminācija un pamattiesību ievērošana” vadlīnijas īstenošanai un uzraudzībai (2021-2027),  pieejamas: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8.1.9.punkts papildināts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īstenošanā, ņemot vērā konkrēto darbību specifiku, tiks izvērtēta iespēja iekļaut darbības, kas veicina  personu ar invaliditāti vienlīdzīgām iespēju un tiesību ievērošanu,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informācijas un publicitātes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(https://www.lm.gov.lv/lv/media/18838/download);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tīmekļa vietnē tiks norādīta informācija par projekta darbību īstenošanas vietas piekļūstamību cilvēkiem ar invaliditāti un funkcionāliem traucējumiem, vecākiem ar maziem bērniem un senioriem;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procesā personām ar invaliditāti tiks nodrošināta piekļūstamība, tostarp, pielāgota darba vieta un pielāgotas informācijas un komunikācijas tehnoloģijas;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publiskajiem iepirkumiem: projektā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plānojot būves dizainu, tiks ņemts vērā daudzveidības un iekļaušanas princips, balstoties uz cilvēku ar invaliditāti vajadzībām ne vien uz fizisku piekļūšanu būvei, bet arī uz specifiskām vajadzībām attiecībā uz būves noformējumu, lietojamību un funkciju.”.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kā pasākums veicinās dzimumu līdztiesību, atbilstoši vadlīnijām horizontālā principa "Vienlīdzība, iekļaušana, nediskriminācija un pamattiesību ievērošana" īstenošanai un uzraudzībai (2021-2027)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pasākuma ietvaros tiks īstenotas HP vispārīgas darbības, kas veicina dzimumu līdztiesību: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(projekta vadības un īstenošanas personālam) tiks nodrošinātas vienlīdzīgas iespējas, tostarp nodrošinot dalību mācību pasākumos, semināros, darba grupās, komandējumos;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LM metodisko materiālu “Ieteikumi diskrimināciju un stereotipus mazinošai komunikācijai ar sabiedrību”, (pieejams šeit: https://www.lm.gov.lv/lv/metodiskie-materiali; https://www.lm.gov.lv/lv/media/18838/download).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8.1.10.punkts papildināts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īstenošanā, ņemot vērā konkrēto darbību specifiku, tiks izvērtēta iespēja iekļaut darbības, kas veicinās dzimumu līdztiesību,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informācijas un publicitātes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(https://www.lm.gov.lv/lv/media/18838/download);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sniegta informācija par projekta vadības un īstenošanas personālu dalījumā pēc dzimuma u.c. pazīmes (vai plānots sniegt) un sniegta (vai plānots sniegt)  informācija sadalījumā pēc dzimumu u.c. pazīmes par projekta mērķa grupām;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iesniegumā ir paskaidrots, kā projektu vadībā un īstenošanā tiks nodrošināta nediskriminācija pēc vecuma, dzimuma, etniskās piederības u.c. pazīmes un virzīti pasākumi, kas veicina nediskrimināciju un pamattiesību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pieejamo kopējo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1.3.apakšpunktu papildināt ar vārdu "plānoto", ņemot vērā, ka tiek paredzēt arī plānotais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plānoto un pieejamo kopējo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Reģionālās attīstības fonda projekta (turpmāk – projekts) iesniedzējiem, finansējuma saņēmējiem un projekta sadarbības partneriem (ja tos pieaicina);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noteikumu projekta 1.4.apakšpunktu un  svītrot vārdu "projekta" pirms vārdiem "sadarbības partneriem", kā arī svītrot vārdus iekavās.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Reģionālās attīstības fonda projekta (turpmāk – projekts) iesniedzējiem, finansējuma saņēmējiem un sadarbības partneriem;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Reģionālās attīstības fonda projekta (turpmāk – projekts) iesniedzējiem un projekta sadarbības partneriem (ja tos pieaicina);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1.4.apakšpunktu ar vārdiem "finansējuma saņēmējam" aiz vārda "iesniedzējam", ņemot vērā, ka noteikumu projekts paredz arī uz finansējuma saņēmēju attiecināmu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Reģionālās attīstības fonda projekta (turpmāk – projekts) iesniedzējiem, finansējuma saņēmējiem un sadarbības partneriem;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Projektu īsteno saskaņā ar vienošanos par projekta īstenošanu, bet ne ilgāk kā līdz 2029.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7.punktu papildināt ar vārdiem "finansējuma saņēmējs" pirms vārda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Finansējuma saņēmējs projektu īsteno saskaņā ar vienošanos par projekta īstenošanu, bet ne ilgāk kā līdz 2029.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Pasākuma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noteikt citu nodaļas nosaukumu, kas nedublē noteikumu projekta 9.punktu un visaptveroši iekļauj nodaļā paredzēto punktu būtību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Pasākuma mērķis un sasniedzamie uzraudzības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Pasākuma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visā noteikumu projekta vārdu “pieejamība” aizstāt ar vārdu “piekļūstamība”. Vēršam uzmanību, ka, atbilstoši Latvijas Zinātņu akadēmijas Terminoloģijas komisijas lēmumam, ārējos un iekšējos normatīvajos aktos tiek lietots termins “piekļūstamība” (no angļu val. “accessibility”). Šāds termins lietots arī Preču un pakalpojumu piekļūstamības likumā, apzīmējot piekļūstamības prasības videi, informācijai, precēm  un pakalpojumiem, lai tie būtu ērti lietojami ikvienam, tai skaitā cilvēkiem ar dažāda veida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vārds “pieejamība” aizstāts ar vārdu “piekļūstamība”.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Pasākuma mērķis un sasniedzamie uzraudzības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Pasākumam pieejamais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nodaļā iekļauti arī punkti,  kas paredz netikai pieejamo finansējumu, aicinām izvērtēt un atbilstoši precizēt  III.nodaļas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III sadaļa nosaka pasākumam pieejamo finansējumu, tai skaitā finansējuma apjomu un atbalsta intensitāti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Pasākumam pieejamais finansējums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minētajam plānotajam kopējam finansējuma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nepieciešamību veikt MK noteikumu grozījumus pēc Eiropas Komisijas lēmuma par vidusposma pārskatu, ierosinām papildināt MK noteikumu projektu vai anotāciju ar informāciju, ja tāda ir pieejama, kā plānots sadalīt elastības finansējumu kultūras infrastruktūras objektu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punkts papildināts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iestāde pēc Eiropas Komisijas lēmuma par vidusposma pārskatu izvērtēs projektu īstenošanas progresu un lems, kura objekta ar augstu gatavības pakāpi attīstībai un pakalpojuma pilnveidei papildus nepieciešams piešķirt elastības finansējumu.”.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minētajam plānotajam kopējam finansējuma apmēram.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un sadarbības partneris var saņemt ieguldījumu atbalstu no publiskā finansējuma,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noteikumu projekta 17.punkā norādīto "saņemt ieguldījumu atbalstu no publiskā finansējuma" atbilstoši ES fondos lietotajai terminoloģijai, ņemot vērā, ka projekta iesniedzējam piešķir finansējumu, savukārt sadarbības partnerus piesaista un izmaksā tiem finanšu līdzekļus.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Finansējuma saņēmējs un sadarbības partneris var saņemt publisko finansējumu šādā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Sadarbības iestāde, ja tai ir pieejami valsts budžeta līdzekļi, pamatojoties uz finansējuma saņēmēja rakstisku avansa pieprasījumu un izvērtējot plānotā avansa apmēru, tā pamatojumu un spēju to izlietot sešu mēnešu laikā (piemēram, projekta iesniedzējam ir pabeigts būvdarbu iepirkums vai noslēgts būvdarbu līgums), var piešķirt finansējuma saņēmējam avansu pēc civiltiesiskā līguma vai vienošanās par projekta īstenošanu noslēgšanas, ievērojot, ka avansa un starpposma maksājumu kopsumma nepārsniedz 90 procentus no projektam piešķirtā Eiropas Reģionālās attīstības fonda finansējuma un nacionālā līdzfinansējuma kopsummas.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21.punktu, lai tas atbilstu Ministru kabineta 2023. gada 25. aprīļa noteikumu Nr. 205 "Valsts budžeta līdzekļu plānošanas kārtība Eiropas Savienības fondu projektu īstenošanai un maksājumu veikšanai 2021.–2027. gada plānošanas periodā"  16.punktā norādītajam, ka avansa un starpposma maksājumu kopsumma nepārsniedz 90 procentus no projektam piešķirtā Eiropas Reģionālās attīstības fonda finansējuma un valsts budžeta līdzfinansējuma kopsummas, kā arī papildināt, ka avansu var izmaksāt vairākos maksājumos.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noteikumu projekta 21.punktu, norādot maksimālo avansa apmēru, kā arī papildināt ar nosacījumu attiecībā uz pašvaldību kā finansējuma saņēmēju, ka plānotā avansa apmērs, tā pamatojums atbilst spējai to izlietot sešu mēnešu laikā saimnieciskā gada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Sadarbības iestāde, ja tai ir pieejami valsts budžeta līdzekļi, izvērtējot plānotā avansa apmēru, tā pamatojumu, pamatojoties uz finansējuma saņēmēja rakstisku avansa pieprasījumu, var piešķirt finansējuma saņēmējam avansu pēc vienošanās par projekta īstenošanu noslēgšanas. Finansējuma saņēmējs avansa pieprasījumu sagatavo un sadarbības iestāde to apstiprina, ņemot vērā, ka plānotā avansa apmērs un tā pamatojums atbilst spējai to izlietot sešu mēnešu laikā saimnieciskā gada ietvaros. Finansējuma saņēmējam avansu var piešķirt līdz 50 procentiem no projektam piešķirtā Eiropas Reģionālās attīstības fonda finansējums un valsts budžeta līdzfinansējuma kopsummas, ievērojot, ka avansu var izmaksāt vairākos maksājumos un avansa un starpposma maksājumu kopsumma nepārsniedz 90 procentus no projektam piešķirtā Eiropas Reģionālās attīstības fonda un valsts budžeta finansējuma kopsummas.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pasākuma ietvaros ir valsts akciju sabiedrība "Valsts nekustamie īpašumi" un Rīgas valstspilsētas pašvaldība, kuras īpašumā, turējumā, lietošanā vai valdījumā atrodas kultūras mantojuma objekts vai publiskā ārtelpa, kurā plānotas investīcijas.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22.punktu ar norādi, ka pēc projekta iesnieguma apstiprināšanas, projekts iesniedzējs kļūst par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kurš pēc projekta iesnieguma apstiprināšanas kļūst par finansējuma saņēmēju, pasākuma ietvaros ir valsts akciju sabiedrība "Valsts nekustamie īpašumi" un Rīgas valstspilsētas pašvaldība, kuras īpašumā, turējumā, lietošanā vai valdījumā atrodas kultūras mantojuma objekts vai publiskā ārtelpa, kurā plānotas investīcijas.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Finansējuma saņēmējs ar katru sadarbības partneri slēdz rakstveida sadarbības līgumu par pušu pienākumiem, tiesībām un atbildību projekta mērķa un rādītāju sasniegšanā atbilstoši normatīvajiem aktiem par kārtību, kādā Eiropas Savienības struktūrfondu un Kohēzijas fonda vadībā iesaistītās institūcijas nodrošina plānošanas dokumentu sagatavošanu un šo fondu ieviešanu 2021.-2027.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juridiski korekti noformēt  noteikumu projekta 24.punktā norādīto atsauci, to precizējot uz normatīvajam aktam par kārtību, kādā Eiropas Savienības fondu vadībā iesaistītās institūcijas nodrošina šo fondu ieviešanu 2021.–2027.gada plānošanas periodā. (22-TA-2143). Vienlaikus aicinām šo punktu pārnest uz citu nodaļu, ņemot vērā, ka šī nodaļa nosaka prasības projekta iesniedzējam un sadarbības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iesniedzējs ar katru sadarbības partneri slēdz rakstveida sadarbības līgumu par pušu pienākumiem, tiesībām un atbildību projekta mērķa un rādītāju sasniegšanā atbilstoši normatīvajiem aktiem par kārtību, kādā Eiropas Savienības fondu vadībā iesaistītās institūcijas nodrošina šo fondu ieviešanu 2021.-2027. gada plānošanas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Īpašuma vai turējuma tiesības attiecībā uz atbalstītajiem objektiem nemaina un ieguldījums paliek Latvijas Republikas teritorijā vismaz piecus gadus pēc projekta noslēguma maksājuma veikšanas finansējuma saņēmējam. Īpašuma vai turējuma tiesības nostiprina zemesgrāmatās (izņemot gadījumu, ja pašvaldības īpašums uz normatīvā akta, līguma vai pašvaldības lēmuma pamata ir nodots pašvaldības iestādes – projekta iesniedzēja – pārvaldīšanā vai ja īpašuma tiesības uz īpašuma objektu ir spēkā bez to nostiprināšanas zemesgrāmatās).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projekta 25.punktā vārdu "projekta" pirms vārdiem "noslēguma maksājuma".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Īpašuma vai turējuma tiesības attiecībā uz atbalstītajiem objektiem nemaina un ieguldījums paliek Latvijas Republikas teritorijā vismaz piecus gadus pēc noslēguma maksājuma veikšanas finansējuma saņēmējam. Īpašuma vai turējuma tiesības nostiprina zemesgrāmatās (izņemot gadījumu, ja pašvaldības īpašums uz normatīvā akta, līguma vai pašvaldības lēmuma pamata ir nodots sadarbības partnera vai projekta iesniedzēja pārvaldīšanā vai ja īpašuma tiesības uz īpašuma objektu ir spēkā bez to nostiprināšanas zemesgrāmatās).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iesniedzējs un sadarbības partneris nevar pretendēt uz finansējumu,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noteikumu projekta 26.punktu, ņemot vērā, ka sadarbības partneris nevar pretendēt uz finansējumu, bet sadarbības partneri var piesaistīt projekta īstenošanā. Aicinām izteikt šādā redakcijā :" Projekta iesniedzējs nevar pretendēt uz finansējumu un sadarbības partneris nevar tikt iesaistīts projekta īstenošanā, 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Komercdarbības atbalsta gadījumā, projekta iesniedzējs nevar pretendēt uz finansējumu un sadarbības partneris nevar tikt iesaistīts projekta īstenošanā, 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tas atbilst grūtībās nonākuša komersanta statusam saskaņā ar Regulas Nr. 651/2014 2. panta 18. punkta definīciju;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punktu, lai būtu skaidrs, ka grūtībās nonākuša komersanta pazīmes ir jāvērtē tikai gadījumā, ja piešķir komercdarbības atbalstu.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 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Komercdarbības atbalsta gadījumā, projekta iesniedzējs nevar pretendēt uz finansējumu un sadarbības partneris nevar tikt iesaistīts projekta īstenošanā,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tas atbilst grūtībās nonākuša komersanta statusam saskaņā ar Regulas Nr. 651/2014 2. panta 18. punkta definīciju;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pašvaldības dome ir pieņēmusi lēmumu par finanšu stabilizācijas pieteikuma iesniegšanu (attiecināms uz pašvaldību);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26.2. 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 atbilstoši likumā “Par pašvaldību finanšu stabilizēšanu un pašvaldību finansiālās darbības uzraudzību” noteiktajam, ir uzsākts finanšu stabilizācijas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pašvaldībā, atbilstoši likumā “Par pašvaldību finanšu stabilizēšanu un pašvaldību finansiālās darbības uzraudzību” noteiktajam, ir uzsākts finanšu stabilizācijas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finanšu ministrs ir iecēlis pašvaldības finanšu stabilizācijas procesa uzraugu attiecīgajā pašvaldībā (attiecināms uz pašvaldību).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26.3.punktu, jo tas dublē 26.2.punkā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26.3.apakšpunkts svītrots.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29.4.3. tiks sekmēta vienlīdzīga pieeja kultūras objektiem un publiskai ārtelpai, veicinot līdztiesīgumu kultūras norišu pieejamībā neatkarīgi no dzīvesvietas, īpašām vajadzībām un sociālā atstumtības riska.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28.2.3. tiks sekmēta vienlīdzīga piekļuve kultūras objektiem un publiskai ārtelpai, veicinot līdztiesību un kultūras norišu piekļūstamību neatkarīgi no personas dzīvesvietas, īpašām vajadzībām un sociālās atstumtības riska.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29.4.3. tiks sekmēta vienlīdzīga piekļuve kultūras objektiem un publiskai ārtelpai, veicinot līdztiesību un kultūras norišu piekļūstamību neatkarīgi no personas dzīvesvietas, īpašām vajadzībām un sociālās atstumtības riska.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nodrošina informācijas un publicitātes pasākumus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vadošās iestādes 2023. gada 30.maija vadlīniju 1.4. "Vadlīnijas Ministru kabineta noteikumu par specifiskā atbalsta mērķa īstenošanu izstrādei Eiropas Savienības fondu 2021.—2027. gada plānošanas periodā" 31.punktā lietoto jēdzienu "komunikācijas un vizuālās identitātes prasību nodrošināšanas nosacījumi", aicinām precizēt noteikumu projekta 31.3., 33.6. un 36.7.apakšpunktu.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33.6. apakšpunkts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 komunikācijas un vizuālās identitātes prasību nodrošināšanas pasākumi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36.7. apakšpunkts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“36.7. projekta komunikācijas un vizuālās identitātes prasību nodrošināšanas pasākumu izmaksas saskaņā ar Regulas Nr.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 Ja projekta iesniegumam sniegtais atbalsts ir uzskatāms par komercdarbības atbalstu, publicitātes izmaksas nav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nodrošina projekta īstenošanas komunikācijas un vizuālās identitātes prasības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Finansējuma saņēmējs un sadarbības partneris: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un 32.2. apakšpunktā lūdzam precizēt, ka finansējuma saņēmējs uzkrāj datus par </w:t>
            </w:r>
            <w:r w:rsidR="00000000" w:rsidRPr="00000000" w:rsidDel="00000000">
              <w:rPr>
                <w:b w:val="1"/>
                <w:rtl w:val="0"/>
              </w:rPr>
              <w:t xml:space="preserve">projektā sasniegtajām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uzkrāj datus par projektā sasniegtajām šo noteikumu 11.2.1. apakšpunktā minētā iznākuma rādītāja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uzkrāj datus par projektā sasniegtajām šo noteikumu 11.2.2. apakšpunktā minēta rezultāta rādītāja vērtībām;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precizēts 31.1. un 31.2. apakšpunkts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uzkrāj datus par projektā sasniegtajām šo noteikumu 11.2.1. apakšpunktā minētā iznākuma rādītāja vērtībām;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uzkrāj datus par projektā sasniegtajām šo noteikumu 11.2.2. apakšpunktā minēta rezultāta rādītāja vērtībām;”.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Finansējuma saņēmējs un sadarbības partneris: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uzkrāj datus par projekta ietekmi uz horizontālo principu rādītājiem (ja attiecināms) un ievēro principus: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viennozīmīgi izprotami nosacījumi saistībā ar horizontālo principu ievērošanu, aicinām izvērtēt iespēju izteikt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ievēro principu "Vienlīdzība, iekļaušana, nediskriminācija un pamattiesību ievērošana" un uzkrāj datus par projekta ietekmi uz horizontālo principu rādītājiem (ja attiecināms), tai skaitā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32.3.1. objektu skaits, kuros Eiropas Reģionālās attīstības fonda ieguldījumu rezultātā ir nodrošināta vides un informācijas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uzkrāj datus par projekta ietekmi uz horizontālo principu īstenošanu (ja attiecināms) un ievēro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32.4.1.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32.4.2.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32.4.3.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32.4. apakšpunkts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uzkrāj datus par projekta ietekmi uz horizontālo principu īstenošanu (ja attiecināms) un ievēro principus:”.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ievēro principu "Vienlīdzība, iekļaušana, nediskriminācija un pamattiesību ievērošana" un uzkrāj datus par projekta ietekmi uz horizontālo principu rādītājiem (ja attiecināms), tai skaitā par objektu skaitu, kuros Eiropas Reģionālās attīstības fonda ieguldījumu rezultātā ir nodrošināta vides un informācijas piekļūstamība;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 projekta īstenošanai nepieciešamo preču un pakalpojumu iegādi veic saskaņā ar publisko iepirkumu reglamentējošajiem normatīvajiem aktiem, īstenojot atklātu, pārredzamu, nediskriminējošu un konkurenci nodrošinošu konkursa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atbalstītu vides piekļūstamības un izmantojamības nodrošināšanu, lūdzam papildināt noteikumu projekta apakšpunktu ar nosacījumu veikt sociāli atbildīgu publisko iepirkumu, kur tas ir attiecināms un atbilstošs ieguldījumu specifikai.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nepieciešamo preču un pakalpojumu iegādi veic saskaņā ar publisko iepirkumu reglamentējošajiem normatīvajiem aktiem, īstenojot atklātu, pārredzamu, nediskriminējošu, konkurenci nodrošinošu konkursa procedūru un, kur tas ir attiecināms, īsteno sociāli atbildīgus iepirkumus";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32.7. 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“32.7. izvērtē iespēju piemērot sociāli atbildīgu un inovatīvu iepirkumu  un vides prasību integrāciju preču un pakalpojumu  iepirkumos (zaļais publiskais iepirkums);”.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 projekta īstenošanai nepieciešamo preču un pakalpojumu iegādi veic saskaņā ar publisko iepirkumu reglamentējošajiem normatīvajiem aktiem, īstenojot atklātu, pārredzamu, nediskriminējošu un konkurenci nodrošinošu konkursa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Atbalstāmo darbību un izmaksu attiecināmības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šo noteikumu  32.3.1. apakšpunktā minētā horizontālā principa "Vienlīdzība, iekļaušana, nediskriminācija un pamattiesību ievērošana" (turpmāk - HP) ievērošanu un īstenošanu praksē,  aicinām noteikumu projektā paredzēt attiecināmās izmaksas HP specifisko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lai nodrošinātu atbilstošus risinājumus publiskās infrastruktūras un pakalpojumu piekļūstamībai, ir jāparedz izmaksas vides piekļūstamības ekspertu konsultāciju nodrošināšanai. Konsultācijas palīdzēt rast labākos risinājumus vides un informācijas piekļūstamības nodrošiāšanai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veidojot jaunus pakalpojumus, paplašinot kultūras mantojuma saturisko piedāvājumu, ir jānodrošina tā atbilstību piekļūstamības prasībām, proti, lai informācijas vai pakalpojuma saturs būtu piekļūstams, izmantojot vairākus sensoros (redze, dzirde, tauste) kanālus, kā arī lai tas būtu labi uztverama personām ar garīga rakstura traucējumiem, lasītprasmes vai uztveres grūtībām. Līdz būs nepieciešami zīmju valodas tulku, vieglās valodas tulkošanas, reāllaika transkripcijas, subtitru nodrošināšanas  pakalpojumi.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"atbalstāmas ir izmaksas horizontālā principa “Vienlīdzība, iekļaušana, nediskriminācija un pamattiesību ievērošana” darbību īstenošanai, tai skaitā zīmju valodas tulku, vieglās valodas tulkošanas, reāllaika transkripcijas, subtitru nodrošināšanas pakalpojumu izmaksas un vides piekļūstamības ekspertu konsultāciju nodrošināšanai 33. apakšpunktā minēto darbību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36.9. 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“36.9. izmaksas horizontālā principa “Vienlīdzība, iekļaušana, nediskriminācija un pamattiesību ievērošana” darbību īstenošanai, kas nepieciešamas, lai nodrošinātu atbilstību vides un informācijas piekļūstamības prasībām, tai skaitā: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36.9.1. zīmju valodas tulku, vieglās valodas tulkošanas, reāllaika transkripcijas un subtitru nodrošināšanas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36.9.2. dzimumu līdztiesības, personu ar invaliditāti vienlīdzīgu iespēju, vecuma nediskriminācijas, etniskās un citiem piederības un pamattiesību jautājumiem ekspertu konsultācijas izmaksas.”.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Atbalstāmo darbību un izmaksu attiecināmības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Izdevumi ir attiecināmi no 2022. gada 2. novembra.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34.punktu, norādot, kā ietvaros - pasākuma vai projekta ietvaros - izmaksas ir attiecināmas un precizēt no "izdevumi " uz "izmaksas" atbilstoši ES fondos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Izmaksas ir attiecināmas no 2022. gada 2. novembra.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Projekta netiešās attiecināmās izmaksas plāno kā vienu izmaksu pozīciju, piemērojot netiešo izmaksu vienoto likmi 15 procentu apmērā no šo noteikumu </w:t>
            </w:r>
            <w:r w:rsidR="00000000" w:rsidRPr="00000000" w:rsidDel="00000000">
              <w:rPr>
                <w:rtl w:val="0"/>
              </w:rPr>
              <w:t xml:space="preserve">36.1. </w:t>
            </w:r>
            <w:r w:rsidR="00000000" w:rsidRPr="00000000" w:rsidDel="00000000">
              <w:rPr>
                <w:rtl w:val="0"/>
              </w:rPr>
              <w:t xml:space="preserve">apakšpunktā</w:t>
            </w:r>
            <w:r w:rsidR="00000000" w:rsidRPr="00000000" w:rsidDel="00000000">
              <w:rPr>
                <w:rtl w:val="0"/>
              </w:rPr>
              <w:t xml:space="preserve"> minētajām izmaksām, ko aprēķina: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projektā nepieciešams atsevišķi noteikt 35.1. un 35.2. apakšpunktā minēto nosacījumos. Rosinām šādu informāciju, ja nepieciešams, norādīt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Projekta netiešās attiecināmās izmaksas plāno kā vienu izmaksu pozīciju, piemērojot netiešo izmaksu vienoto likmi 15 procentu apmērā no šo noteikumu </w:t>
            </w:r>
            <w:r w:rsidR="00000000" w:rsidRPr="00000000" w:rsidDel="00000000">
              <w:rPr>
                <w:rtl w:val="0"/>
              </w:rPr>
              <w:t xml:space="preserve">36.1. </w:t>
            </w:r>
            <w:r w:rsidR="00000000" w:rsidRPr="00000000" w:rsidDel="00000000">
              <w:rPr>
                <w:rtl w:val="0"/>
              </w:rPr>
              <w:t xml:space="preserve">apakšpunktā</w:t>
            </w:r>
            <w:r w:rsidR="00000000" w:rsidRPr="00000000" w:rsidDel="00000000">
              <w:rPr>
                <w:rtl w:val="0"/>
              </w:rPr>
              <w:t xml:space="preserve"> minētajām izmaksām, izņemot pakalpojuma līguma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36.3.1. esošas būves, tai skaitā kultūras mantojuma objekta sasniedzamību un pieejamību nodrošinošās infrastruktūras (satiksmes pārvadi, ielas un ar tām saistītā infrastruktūra, gājēju ceļi, gājēju tilti, labiekārtoti laukumi ar segumu, kāpnes, apgaismojums), atjaunošana, konservācija, pārbūve vai restaurācija un ar to saistītās publiskās ārtelpas attīstība;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36.3.1. apakšpunktā izvērtēt pieturzīmes iekavas lietojumu. Iekavu lietošana var padarīt tiesību normu neskaidru un apgrūtināt tās viennozīmīgu uztveri. Norādām, ka iekavās ietvertais teksts var ne tikai padarīt tiesību aktu neskaidru, bet var arī sašaurināt vai paplašināt normas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36.3.1. esošas būves, tai skaitā kultūras mantojuma objekta sasniedzamību un piekļūstamību nodrošinošās infrastruktūras, tai skaitā satiksmes pārvadi, ielas un ar tām saistītā infrastruktūra, gājēju ceļi, gājēju tilti, labiekārtoti laukumi ar segumu, kāpnes, apgaismojums, atjaunošana, konservācija, pārbūve vai restaurācija un ar to saistītās publiskās ārtelpas attīstība;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36.3.2. jaunas būves, tai skaitā kultūras mantojuma objekta sasniedzamību un pieejamību nodrošinošās infrastruktūras (satiksmes pārvadi, ielas un ar tām saistītā infrastruktūra, gājēju ceļi, gājēju tilti, labiekārtoti laukumi ar segumu, kāpnes, apgaismojums, ārtelpas elementi), būvniecība un ar to saistītās publiskās ārtelpas attīstība;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36.3.1. apakšpunktā izvērtēt pieturzīmes iekavas lietojumu. Iekavu lietošana var padarīt tiesību normu neskaidru un apgrūtināt tās viennozīmīgu uztveri. Norādām, ka iekavās ietvertais teksts var ne tikai padarīt tiesību aktu neskaidru, bet var arī sašaurināt vai paplašināt normas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36.3.2. jaunas būves, tai skaitā kultūras mantojuma objekta sasniedzamību un piekļūstamību nodrošinošās infrastruktūras, tai skaitā satiksmes pārvadi, ielas un ar tām saistītā infrastruktūra, gājēju ceļi, gājēju tilti, labiekārtoti laukumi ar segumu, kāpnes, apgaismojums, ārtelpas elementi, būvniecība un ar to saistītās publiskās ārtelpas attīstība;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36.7. projekta informācijas un publicitātes pasākumu izmaksas atbilstoši normatīvajiem aktiem par kārtību, kādā Eiropas Savienības fondu ieviešanā 2021.-2027. gada plānošanas periodā nodrošināma komunikācijas un vizuālās identitātes prasību ievērošana. Ja projekta iesniegumam sniegtais atbalsts ir uzskatāms par valsts atbalstu komercdarbībai, publicitātes izmaksas nav attiecināmas.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36.7.apakšpunktā vārdus "normatīvajiem aktiem par kārtību, kādā Eiropas Savienības fondu ieviešanā 2021.-2027. gada plānošanas periodā nodrošināma komunikācijas un vizuālās identitātes prasību ievērošana" ar vārdiem " Eiropas Parlamenta un Padomes 2021. gada 24. jūnija Regulas (ES) Nr. 2021/1060 47. un 50. pantam un kārtībai, kādā Eiropas Savienības fondu vadībā iesaistītās institūcijas nodrošina šo fondu ieviešanu 2021.–2027.gada plānošanas periodā, kā arī Eiropas Savienības fondu 2021.–2027. gada plānošanas perioda un Atveseļošanas fonda komunikācijas un dizaina vadlīnijām".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36.7. projekta komunikācijas un vizuālās identitātes prasību nodrošināšanas pasākumu izmaksas saskaņā ar Regulas Nr.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 Ja projekta iesniegumam sniegtais atbalsts ir uzskatāms par komercdarbības atbalstu, publicitātes izmaksas nav attiecināmas;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Valsts atbalsta komercdarbībai saņemšanas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pasākumā plānoto projektu ietvaros paredzēta papildinoša saimnieciskā darbība un papildpakalpojumi. Vēršam uzmanību, ka minētā nosacījuma gadījumā nepieciešams izstrādāt papildinošās saimnieciskās darbības un papildpakalpojumu nosacījumu kontroles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49.punktu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Atbalstītajā objektā pieļaujams veikt papildinošu saimniecisko darbību 20 % apmērā no infrastruktūras gada jaudas platības, laika vai finanšu izteiksmē tiktāl, ciktāl šī saimnieciskā darbība ir nepieciešama un saistīta ar funkcijas vai deleģēta pārvaldes uzdevuma veikšanu un  nav pretrunā ar  kultūras mantojuma saglabāšanas principiem, lai atbalsts pasākuma ietvaros netiktu kvalificēts kā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Komercdarbības atbalsta saņemšanas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projektam nav saimnieciska rakstura, jo pašu ieņēmumi atbalstītajā objektā ir 50 procenti vai mazāki par 50 procentiem no kultūras jomas pakalpojumu sniedzēja gada budžeta atbalstītajā objektā;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tiesisko skaidrību, lūdzu pārcelt uz noteikumu tekstu no anotācijas kritērijus, kas vērtējami, lai pārliecinātos par to, ka projektam, kuram ir saimniecisks raksturs, nav ietekmes uz konkurenci un tirdzniecību Eiropas Savienības iekšējā tirgū: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85 procenti un vairāk no visiem kultūras jomā sniegto pakalpojumu saņēmējiem/apmeklētājiem atbalstītajā objektā gadā ir Latvijas 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īstenotie kultūras pasākumi (koncerti, izrādes, performances u.c.) pārsvarā notiek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objekts netiek plaši reklamēts ārpus Latvijas teritorijas (netiek veiktas starptautiskas mārketinga aktivitātes u.c. darbības pārrobežu reklāmas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šobrīd piedāvātās punkta redakcijas var nolasīt, ka projekts nekvalificēsies kā komercdarbības atbalsts nevienā no 42.1. un 42.2.apakšpunktā minētajiem gadījumiem. Lai tiesību norma būtu precīza, lūdzu tehniski precizēt, aizstājot vārdus "nav kvalificējams kā atbalsts komercdarbībai, jo projektam nav ietekmes uz" ar vārdiem "nav kvalificējams kā atbalsts komercdarbībai, ja projektam nav ietekmes uz".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43.2. apakšpunkts precizēts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 ja pašu ieņēmumi atbalstītajā objektā ir lielāki par 50 procentiem no kultūras jomas pakalpojumu sniedzēja gada budžeta, tad projektam ir saimniecisks raksturs, tomēr tas nav kvalificējams kā atbalsts komercdarbībai, ja projektam nav ietekmes uz konkurenci un tirdzniecību Eiropas Savienības iekšējā tirgū, ko vērtē atbilstoši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43.2.1. 85 procenti un vairāk no visiem kultūras jomā sniegto pakalpojumu saņēmējiem vai apmeklētājiem atbalstītajā objektā gadā ir Latvijas 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43.2.2. īstenotie kultūras pasākumi pārsvarā notiek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43.2.3. objekts netiek plaši reklamēts ārpus Latvijas teritorijas, tai skaitā netiek veiktas starptautiskas mārketinga aktivitātes un citas darbības pārrobežu reklāmas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projektam nav saimnieciska rakstura, jo pašu ieņēmumi atbalstītajā objektā ir 50 procenti vai mazāki par 50 procentiem no kultūras jomas pakalpojumu sniedzēja gada budžeta atbalstītajā objektā;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Atbalstītajā objektā pieļaujams veikt papildinošu saimniecisko darbību 20 procentu apmērā no infrastruktūras gada jaudas platības, laika vai finanšu izteiksmē tiktāl, ciktāl šī saimnieciskā darbība ir nepieciešama un saistīta ar funkcijas vai deleģēta pārvaldes uzdevuma veikšanu un  nav pretrunā ar  kultūras mantojuma saglabāšanas principiem, lai atbalsts pasākuma ietvaros netiktu kvalificēts kā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43.punktā ir jau atrunāta ieņēmumu gūšanas iespēja līdz 50 procentiem no kultūras jomas pakalpojumu sniedzēja gada budžeta, nav saprotama 49.punktā iekļautās normas piemērošana. Aicinām izvērtēt, vai 49.punkts nebūtu dzēšams, lai neradītu lieku neizpratni gan finansējuma saņēmējiem, gan CFLA un citām uzraugošajām institūcijām.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49.punkts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49.3. projekta uzraudzību visā projekta pārskata periodā (projekta dzīves cikla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normatīvajā aktā nelieto sinonīmus un vienu lietu konsekventi sauc vienā un tajā pašā vārdā. Tāpat atbilstoši juridiskās tehnikas prasībām, termins ir jālieto vienā nozīmē, un tas nav aizstājams ar sinonīmiem. Ievērojot minēto, lūdzam visā noteikumu projektā svītrot iekavas un vārdus “projekta dzīves cikla laikā” un "projekta dzīves cikla".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svītroti vārdi “projekta dzīves cikla laikā” un “projekta dzīves cikla”.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50.3. projekta uzraudzību visā projekta pārskata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komunikācijas un vizuālās identitātes prasību nodrošināšanas nosacījumu, interešu konflikta neesamības prasību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Projekts nosaka, ka finansējuma saņēmējs nodrošina projekta īstenošanas komunikācijas un vizuālās identitātes prasības saskaņā ar Regulas Nr.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un sadarbības partneris nodrošina interešu konflikta neesību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neesības apliecinājumu.”.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pamatojumu, kāpēc finansējuma saņēmējam avansu nepieciešams piešķirt līdz 50 procentiem no projektam piešķirtā Eiropas Reģionālās attīstības fonda finansējuma un valsts budžeta līdzfinansējuma kopsummas. Vēršam uzmanību, ka lielāku avansa apjomu, nekā tas  ir noteikts Ministru kabineta 2023. gada 25.aprīļa noteikumu Nr. 205 "Valsts budžeta līdzekļu plānošanas kārtība Eiropas Savienības fondu projektu īstenošanai un maksājumu veikšanai 2021.–2027. gada plānošanas periodā" 10.punktā ir  iespējams noteikt konkrētajā normatīvajā aktā par specifiskā atbalsta mērķa īstenošanu tikai ar atbilstošu izvērtējumu anotācijā un ja tas nepieciešams šī specifiskā atbalsta mērķa īstenošanai un ES fondu projektu savlaicīgai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avansa apjoms pieļaujams, ņemot vērā nepieciešamību nodrošināt pēc iespējas ātrāku projektu īstenošanas uzsākšanu. Ir pieļaujams, ka par projekta būvniecības darbībām projekta iesnieguma iesniegšanas brīdī jau ir noslēgts būvdarbu līgums un uzsākti būvdarbi. Avansa apjoms katram projektam ir nosakāms individuāli. Nosakot projekta avansa apmēru, ņem vērā finansējuma saņēmēja spēja sešu mēnešu laikā pēc avansa maksājuma saņemšanas iesniegt sadarbības iestādē maksājuma pieprasījumu piešķirtā avansa maksājuma apmērā. Avansu var izmaksāt vairākos maksājumos.”.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plānošanas reģionu vērtējumam aicinām anotācijā sniegt skaidrojumu, kā ir plānots iesaistīt vietējās kopienas, NVO, tūrisma asociācijas, organizācijas, kas pārstāv personas ar funkcionāliem un garīga rakstura traucējumiem, un citas iesaistītās puses, lai noskaidrotu viņu vēlmes, t.sk. ko tās sagaida no pasākuma ietvaros atbalstīto objektu atjaunošanas un uzlabošanas.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Noteikuma projekta anotācijas sadaļu  “8.1.9. uz personu ar invaliditāti vienlīdzīgām iespējām un tiesībām” un “8.1.10. uz dzimumu līdztiesību”.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uzsākot Noteikumu projekta saskaņošanu, tika nodrošināta sabiedriskā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projekts paredz, ka 5.1.1.5. pasākums tiks īstenots, ievērojot Jaunā Eiropas </w:t>
            </w:r>
            <w:r w:rsidR="00000000" w:rsidRPr="00000000" w:rsidDel="00000000">
              <w:rPr>
                <w:i w:val="1"/>
                <w:rtl w:val="0"/>
              </w:rPr>
              <w:t xml:space="preserve">Bauhaus</w:t>
            </w:r>
            <w:r w:rsidR="00000000" w:rsidRPr="00000000" w:rsidDel="00000000">
              <w:rPr>
                <w:rtl w:val="0"/>
              </w:rPr>
              <w:t xml:space="preserve"> principus: estētika, ilgtspēja, iekļautība, tai skaitā nodrošinot publiskās ārtelpas attīstības risinājumu iekļaušanos apkārtējā ainavā, dabā balstīto risinājumu, universālā dizaina principu ievērošanu. Savukārt anotācijā skaidrots, ka ar Jaunā Eiropas </w:t>
            </w:r>
            <w:r w:rsidR="00000000" w:rsidRPr="00000000" w:rsidDel="00000000">
              <w:rPr>
                <w:i w:val="1"/>
                <w:rtl w:val="0"/>
              </w:rPr>
              <w:t xml:space="preserve">Bauhaus</w:t>
            </w:r>
            <w:r w:rsidR="00000000" w:rsidRPr="00000000" w:rsidDel="00000000">
              <w:rPr>
                <w:rtl w:val="0"/>
              </w:rPr>
              <w:t xml:space="preserve"> nacionālā kontaktpunkta starpniecību tiks sekmēta sabiedrības izglītošana, izpratne un iesaiste kvalitatīvas arhitektūras, dzīves vides veidošanā un lēmumu pieņemšanā, tostarp stiprinot izpratni vietējās kopienās par kvalitatīvu dzīvesvidi, kā arī stimulējot vietas piederības sajūtu un apziņu.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rezultāta rādītāja "Atbalstīto kultūras un tūrisma vietu  apmeklētāji" (turpmāk - rezultātu rādītājs) atspoguļošanas pieeju 5.1.1.5. un 5.1.1.7.pasākumu noteikumu projektos, t.sk. ņemot vērā precizētajā anotācijā sniegto informāciju par katra pasākuma pienesumu rādītāja sasniegšanā. Vēršam uzmanību, ka šobrīd noteikumu projektā norādīta 5.1.1.7.pasākuma ietvaros sasniedzamā rezultāta rādītāja vērtība, bet 5.1.1.5.pasākumā – Eiropas Savienības kohēzijas politikas programmā 2021. -2027.gadam (turpmāk – programma) apstiprinātā 5.1.1.SAM kopējā rezultāta rādītāja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iznākuma rādītāja “Atbalstīto kultūras un tūrisma objektu skaits” sasniedzamā vērtība ir mazāka, nekā sākotnēji šajā pasākumā tika paredzēts, kā arī KM izziņā sniegto skaidrojumu, ka pieejas maiņas dēļ kopumā KM pārziņā esošajos pasākumos programmas rādītājs tiks sasniegts ievērojami mazākā apjomā, un plānots rosināt attiecīgus programmas grozījumus, lūdzam ar šo informāciju papildināt arī anotāciju pie plānoto rādītāju sadaļas.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KM ir saistoša un jānodrošina programmā noteiktā rādītāja sasniegšana kopsummā visos pasākumos. Attiecīgi, šobrīd neiebilstam noteikumu projekta tālākai virzībai, taču lūdzam KM jau savlaicīgi izstrādāt attiecīgus programmas grozījumus un pamatojumu. Pirms 5.1.1.6.pasākuma “Kultūras mantojuma saglabāšana un jaunu pakalpojumu attīstība” ieviešanas nosacījumu izstrādes un virzības apstiprināšanai būtu jāsaņem vismaz neformāls Eiropas Komisijas saskaņojums plānotajām iznākuma rādītāju izmaiņām, un minētā pasākuma ieviešanas nosacījumi varēs tikt apstiprināti tikai pēc attiecīgu programmas grozījumu veikšanas, vai virzot valdībā lēmumu par izņēmumu / uzņemoties risku pirms Eiropas Komisijas lēmuma par programmas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sākotnēji 5.1.1. specifiskā atbalsta mērķa ietvaros tika plānots īstenot atsevišķus liela apjoma objektus un lielu skaitu maza apjoma objektus Eiropas Savienības kohēzijas politikas programmā 2021.-2027.gadam tika noteikta rādītāja “Atbalstīto kultūras un tūrisma objektu skaits” sasniedzamā vērtība – 26 objekti , tomēr šobrīd nepieciešams pārskatīt pašvaldību ieceres attiecībā uz kultūras objektu attīstības vajadzībām un attiecīgi Kultūras ministrija plāno samazināt rādītāja “Atbalstīto kultūras un tūrisma objektu skaits” sasniedzamo vērtību un  veikt atbilstošus Eiropas Savienības kohēzijas politikas programmas 2021.-2027.gadam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noteikumu projektu ar inovatīva publiskā iepirkuma nosacījumu piemērošanu vai norādīt anotācijā, kāpēc tas netiks piemērots.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32.7.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“32.7. izvērtē iespēju īstenot sociāli atbildīgu un inovatīvu iepirkumu un vides prasību integrāciju preču un pakalpojumu  iepirkumos (zaļais publiskais iepirkums);”.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 sadaļu "Tiesību akta projekta ietekmējamās sabiedrības grupas, ietekme uz tautsaimniecības attīstību un administratīvo slogu" ar skaidrāku fokusu  uz pasākumā plānoto investīciju pienesumu tautsaimniecībai, norādot pēc iespējas izmērāmus rādītājus, kā arī novērtējot konkrētus aspektus par plānoto ieguldījumu sagaidāmo ietekmi un efektivitāti, t.sk. faktiski sagaidāmos rezultātus pēc investīciju īstenošanas ņemot vērā Finanšu ministrijas 2023.gada vēstulē Nr. 5.1-24/21/ 1076 “Par Eiropas Savienības fondu un Atveseļošanas fonda investīciju pienesumu tautsaimniecībai” ietverto aicinājumu. Vēršam uzmanību, ka 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2021.–2027.gadam noteiktajiem mērķiem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tiks sniegts ieguldījums NAP2027 prioritātes “Kultūra un sports aktīvai un pilnvērtīgai dzīvei” šādu rīcības virzienu progresa rādītāju sasniegšanā: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rīcības virziena “Cilvēku līdzdalība kultūras un sporta aktivitātēs” 364. progresa rādītājs “Mājsaimniecību izdevumi kultūrai un atpūtai no mājsaimniecību kopējiem patēriņa izdevumiem”;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rīcības virziena “Kultūras un sporta devums ilgtspējīgai sabiedrībai”: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377. progresa rādītājs “Kultūras pasākumu apmeklējumu skaits gadā uz 100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378. progresa rādītājs “Ārvalstu vairākdienu ceļotāju Latvijā kopējie izdevumi, milj.”.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pieejamību, attīstot kultūras pakalpojumus"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MK protokollēmuma projektu ar uzdevumu un termiņu Kultūras ministrijai 5.1.1.5. pasākuma “Unikāla Eiropas mēroga kultūras mantojuma atjaunošana, lai veicinātu to pieejamību, attīstot kultūras pakalpojumus” ietvaros vērtēt vienkāršoto izmaksu metodikas izstrādes iespējas projekta personāla atlīdzības izmaksām projektu īstenošanas stadijā (kad būs sasniegts noteikts ieviešanas progress un būs pieejami dati par atlīdzības izmaksām projektā), kā arī attiecībā uz projektiem, kuru īstenošana plānota vēlākā laika periodā par elastības finansējumu. Finanšu ministrijas ieskatā ir būtiski vērtēt iespējas pēc iespējas plašāk piemērot vienkāršoto izmaksu iespējas šajā stadijā.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starpinstitūciju saskaņošanas procesā esošo regulējumu Kultūras ministrijas pārziņā esošā 5.1.1.7.pasākuma “Reģionālās kultūras infrastruktūras attīstība kultūras pakalpojumu piekļūstamības uzlabošanai” īstenošanai, aicinām šādu pieeju izmantot arī šajos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protokollēmums papildināts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ministrijai līdz 2024. gada 30. novembrim izvērtēt vienkāršoto izmaksu metodikas izstrādes iespējas 5.1.1.5. pasākuma “Unikāla Eiropas mēroga kultūras mantojuma atjaunošana, lai veicinātu to piekļūstamību, attīstot kultūras pakalpojumus” projekta personāla atlīdzības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pieejamību, attīstot kultūras pakalpojumus"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protokollēmuma projektu ar uzdevumu un termiņu Kultūras ministrijai 5.1.1.5. pasākuma “Unikāla Eiropas mēroga kultūras mantojuma atjaunošana, lai veicinātu to pieejamību, attīstot kultūras pakalpojumus” ietvaros vērtēt vienkāršoto izmaksu metodikas izstrādes iespējas projekta personāla atlīdzības izmaksām projektu īstenošanas stadijā (kad būs sasniegts noteikts ieviešanas progress un būs pieejami dati par atlīdzības izmaksām projektā), kā arī attiecībā uz projektiem, kuru īstenošana plānota vēlākā laika periodā par elastības finansējumu. Finanšu ministrijas ieskatā ir būtiski vērtēt iespējas pēc iespējas plašāk piemērot vienkāršoto izmaksu iespējas šajā stadijā.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starpinstitūciju saskaņošanas procesā esošo regulējumu Kultūras ministrijas pārziņā esošā 5.1.1.7.pasākuma “Reģionālās kultūras infrastruktūras attīstība kultūras pakalpojumu piekļūstamības uzlabošanai” īstenošanai, aicinām šādu pieeju izmantot arī šajos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tiks organizēta starpinstitūciju sanāksme, lai rastu risinājumu vienkāršoto izmaksu piemērošanai.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23-TA-1256</w:t>
    </w:r>
    <w:r>
      <w:br/>
    </w:r>
    <w:r w:rsidR="00000000" w:rsidRPr="00000000" w:rsidDel="00000000">
      <w:rPr>
        <w:rtl w:val="0"/>
      </w:rPr>
      <w:t xml:space="preserve">30.08.2023. 14.06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23-TA-1256</w:t>
    </w:r>
    <w:r>
      <w:br/>
    </w:r>
    <w:r w:rsidR="00000000" w:rsidRPr="00000000" w:rsidDel="00000000">
      <w:rPr>
        <w:rtl w:val="0"/>
      </w:rPr>
      <w:t xml:space="preserve">30.08.2023. 14.06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Izziņa_23-TA-1256.docx</dc:title>
</cp:coreProperties>
</file>

<file path=docProps/custom.xml><?xml version="1.0" encoding="utf-8"?>
<Properties xmlns="http://schemas.openxmlformats.org/officeDocument/2006/custom-properties" xmlns:vt="http://schemas.openxmlformats.org/officeDocument/2006/docPropsVTypes"/>
</file>