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Apstiprināt pēc Projekta pabeigšanas projekta rezultātu uzturēšanas izmaksas Valsts reģionālās attīstības aģentūrai 2026.gadā ne vairāk kā 317 917 euro un sākot ar 2027.gadu ne vairāk kā 545 000 euro gadā, nepieciešamo finansējumu pieprasot likumprojekta "Par valsts budžetu 2026. gadam un budžeta ietvaru  2026., 2027. un 2028.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rezultātu uzturēšanas izmaksas plānotas tikai Vides aizsardzības un reģionālās attīstības ministrijai (Valsts reģionālai attīstības aģentūrai) informācijas sistēmas uzturēšanai pēc projekta pabeigšanas (proti, bez finansējuma atlīdzībai jaunām amata vietām), tad tās ir pieprasāmas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attiecīgi lūdzam precizēt rīkojuma projekta 5.punktu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rezultātu uzturēšanas izmaksas Vides aizsardzības un reģionālās attīstības ministrijai (Valsts reģionālās attīstības aģentūrai) plānotas 2026.gadā ne vairāk kā 317 917 euro un sākot ar 2027.gadu ne vairāk kā 545 000 euro gadā, nepieciešamo finansējumu pieprasot normatīvajos aktos noteiktajā kārtībā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projketa 5. punkts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rezultātu uzturēšanas izmaksas Vides aizsardzības un reģionālās attīstības ministrijai (Valsts reģionālās attīstības aģentūrai) plānotas 2026.gadā ne vairāk kā 317 917 euro un sākot ar 2027.gadu ne vairāk kā 545 000 euro gadā, nepieciešamo finansējumu pieprasot normatīvajos aktos noteiktajā kārtībā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2026.gadā Centrālajai vēlēšanu komisijai ne vairāk kā 142 506 euro un sākot ar 2027.gadu ne vairāk kā 134 510  euro gadā. Nepieciešamo finansējumu pieprasīt normatīvajos aktos noteiktajā kārtībā, ievērojot Likuma par budžetu un finanšu vadību 9.1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5.punktā noteikt tikai Vides aizsardzības un reģionālās attīstības ministrijai (Valsts reģionālai attīstības aģentūrai) plānotās projekta uzturēšanas izmaksas, kurām finansējums pieprasāmas saskaņā ar Likuma par budžetu un finanšu vadību 9.</w:t>
            </w:r>
            <w:r w:rsidR="00000000" w:rsidRPr="00000000" w:rsidDel="00000000">
              <w:rPr>
                <w:vertAlign w:val="superscript"/>
                <w:rtl w:val="0"/>
              </w:rPr>
              <w:t xml:space="preserve">1 </w:t>
            </w:r>
            <w:r w:rsidR="00000000" w:rsidRPr="00000000" w:rsidDel="00000000">
              <w:rPr>
                <w:rtl w:val="0"/>
              </w:rPr>
              <w:t xml:space="preserve">panta otrajā daļā noteikto, savukārt rīkojuma projekta 5.1. apakšpunktu izteikt kā atsevišķu rīkojuma projekta punktu, ņemot vērā, ka finansējums 2 jaunu amata vietu izveidošanai ir pieprasāms likumprojekta "Par valsts budžetu 2026. gadam un budžeta ietvaru  2026., 2027. un 2028.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amata vietu skaita izmaiņas ir jāskaņo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iespēju papildināt pasi ar informāciju, ka projekta īstenošanai ir neitrāla ietekme uz valsts pārvaldes darbinieku skaitu, proti, projektu iespējams ieviest ar esošajiem iestāžu darbinieku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5.1. apakšpunkts izkļauts.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pasi nav iespējams papildināt ar informāciju, ka projekta īstenošanai ir neitrāla ietekme uz valsts pārvaldes darbinieku skaitu, apzinoties neatbilstību šim apgalvojumam. Vienlaikus atgādinām, ka šī projekta nonākšana VRAA pārziņā cēlonis bija CVK un PMLP cilvēkresursu (amata vietu) un finansējuma trūkums, lai šo projektu realizētu, kas minēts arī anotācijas problēmas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projektā noteiktajam, finansējuma saņēmējs ir Valsts reģionālās attīstības aģentūra (turpmāk - VRAA). Lai nerastos interpretācijas iespējas, lūdzam precizēt anotāciju un rīkojuma projekta pielikumus skaidri norādot, ka Centrālā vēlēšanu komisija ir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VRAA nav minētā Ministru kabineta 2022. gada 19. jūlija noteikumu Nr. 435 "Eiropas Savienības Atveseļošanas un noturības mehānisma plāna 2. komponentes "Digitālā transformācija" 2.1. reformu un investīciju virziena "Valsts pārvaldes, tai skaitā pašvaldību, digitālā transformācija" īstenošanas noteikumi" 4. pielikumā (arī minēto MK noteikumu grozījumu projektā), lūdzam anotācijā sniegt pamatojumu attiecībā uz VRAA izvēli kā finansējumu saņēmēju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apakšpunkts “Cita informācija”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atbilst finansējuma saņēmēja statusam Projektā atbilstoši Ministru kabineta 2022. gada 19. jūlija noteikumu Nr. 435 “Eiropas Savienības Atveseļošanas un noturības mehānisma plāna 2. komponentes “Digitālā transformācija” 2.1. reformu un investīciju virziena “Valsts pārvaldes, tai skaitā pašvaldību, digitālā transformācija” 11. un 12. punktiem."</w:t>
            </w:r>
            <w:r w:rsidR="00000000" w:rsidRPr="00000000" w:rsidDel="00000000">
              <w:rPr>
                <w:rtl w:val="0"/>
              </w:rPr>
              <w:t xml:space="preserve">Lūgums skatīt precizēto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pēdējo rindkopu, ņemot vērā izteikto iebildumu par rīkojuma projekta 5.punktu, proti,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projekta rezultātu uzturēšanas izmaksu segšanai nepieciešamais papildu finansējums Vides aizsardzības un reģionālās attīstības ministrijai (Valsts reģionālai attīstības aģentūrai) tiks pieprasīts normatīvajos aktos noteiktajā kārtībā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pēdējā rindkopa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6.punktu papildināt ar nepieciešamā finansējuma aprēķinu projekta rezultātu uzturēšanas izmaksām pēc projekta beigām, kas nepieciešamas Vides aizsardzības un reģionālās attīstības ministrijai (Valsts reģionālās attīstības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 ar nepieciešamā finansējuma aprēķinu,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3.sadaļā sniegto informāciju, proti, 2024., 2025. un 2026.gadam ailēs “izmaiņas, salīdzinot ar vidēja termiņa budžeta ietvaru” precizēt 1.-5.punktos sniegto informāciju norādot finansējumu, lai tas atbilstu 6.punktā sniegtajai informācijai par projekta īstenošanas izdevumiem sadalījumā pa gadiem, norādot arī  2026. un 2027.gadam plānotās izmaksas pēc projekta beigām, kā arī  2026.gadam ailē “saskaņā ar vidēja termiņa budžeta ietvaru” norādīt “0”, ņemot vērā, ka projekta īstenošanai šobrīd ne Vides aizsardzības un reģionālās attīstības ministrijas (Valsts reģionālās attīstības aģentūras), ne Centrālās vēlēšanu komisijas budžetā nav paredzēts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sniegtā informācija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tiks izskatīts Ministru kabineta sēdē 2024.gadā, lūdzam precizēt anotācijas 3.sadaļā sniegto informāciju, proti, kā kārtējo gadu norādīt 2024.gadu un attiecīgi 2024., 2025. un 2026.gadam ailēs “izmaiņas kārtējā gadā, salīdzinot ar valsts budžetu kārtējam gadam” un “izmaiņas, salīdzinot ar vidēja termiņa budžeta ietvaru” precizēt 1.-5.punktos sniegto informāciju, lai tā atbilstu 6.punktā sniegtajai informācijai par projekta īstenošanas izdevumiem sadalījumā pa gadiem, kā arī ailēs “saskaņā ar vidēja termiņa budžeta ietvaru” norādīt “0”, ņemot vērā, ka projekta īstenošanai šobrīd ne Vides aizsardzības un reģionālās attīstības ministrijas (Valsts reģionālās attīstības aģentūras), ne Centrālās vēlēšanu komisijas budžetā nav paredzēts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 “izmaiņas, salīdzinot ar vidēja termiņa budžeta ietvaru” 2.1.punktā 2026. un 2027.gadam norādīt arī plānotās izmaksas pēc projekta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nepieciešamā finansējuma aprēķinu izmaksām pēc projekta beigām gan attiecībā uz Vides aizsardzības un reģionālās attīstības ministriju (Valsts reģionālās attīstības aģentūru), gan Centrālo vēlēšanu komisiju, tai skaitā pārceļot uz 6.punktu šobrīd 7.punktā norādīto informāciju par papildus nepieciešamo valsts budžeta finansējumu jaunajām amata vietām, vienlaikus skaidrojot pēc būtības šādu izmaksu nepieciešamību, un 7.punktā atstājot informāciju tikai par amata vietu skaita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anotācijas 3.sadaļas 7.punta izkļaušanu pēc Valsts kancelejas iebilduma, uzskatām, ka minētais iebildums ir atrisināts.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pēdējo rindkopu, norādot, ka jautājums par nepieciešamo papildu finansējumu jaunām amata vietām ir izskatāms likumprojekta "Par valsts budžetu 2026. gadam un budžeta ietvaru  2026., 2027. un 2028.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projekta uzturēšanas izdevumu segšanai nepieciešamais papildu finansējums tiks pieprasīts likumprojekta "Par valsts budžetu 2026. gadam un budžeta ietvaru  2026., 2027. un 2028.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norādīts, ka projekta turpmākai uzturēšanai būs nepieciešamas 2 jaunas amata vietas. Norādām, ka Valsts kanceleja konceptuāli iebilst pret jaunu amata vietu izveidi, jo šāda pieeja nav vērsta uz mazas un efektīvās valsts pārvaldes darbu. Saskaņā ar 30.03.2023. VSS protokolu Nr.12 #4 d.k/2.1.punktu  2.punktā norādīto: "Veidojot jaunu pastāvīgu amata vietu (projekta ieviešanai vai arī pēc projekta rezultātu uzturēšanai), informācija par to norādāma Ministru kabineta sēdes protokollēmumā kā atsevišķs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tā kā nav pievienoti detalizēti aprēķini par jaunajām amata vietām nepieciešamo finansējumu, nav saprotams, kāpēc tieši pirmajā gadā papildu nepieciešamais finansējuma apmērs ir lielāks nekā turpmākajos gados, ņemot vērā, ka bāzes alga mainās atbilstoši valsts ekonomiskai izaugsmei.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izkļauts 3. sadaļas 7.punktā norādītais finansējuma un amata vietu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norādīts, ka projekta turpmākai uzturēšanai būs nepieciešamas 2 jaunas amata vietas. Norādām, ka Valsts kanceleja konceptuāli iebilst pret jaunu amata vietu izveidi, jo šāda pieeja nav vērsta uz mazas un efektīvās valsts pārvaldes darbu. Saskaņā ar 30.03.2023. VSS protokolu Nr.12 #4 d.k/2.1.punktu  2.punktā norādīto: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izkļauts 3. sadaļas 7.punkta norādītais finansējuma un amata vietu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2023. gada 13. decembrī sniedza atzinumu par informatīvā ziņojuma “Par vēlēšanu procesu nodrošināšanai nepieciešamo informācijas un komunikācijas tehnoloģiju,  resursu apjomu un ilgtermiņa vīziju” (23-TA-3158) projektu (turpmāk – IZ). Atzinumā Iekšlietu ministrija norādīja, ka līdz 2029. gadam Vēlētāju reģistra uzturēšana un nepieciešamo datu apstrāde kārtējām vēlēšanām, pašvaldību referendumiem un, iespējams, ārkārtējām vēlēšanām būs Pilsonības un migrācijas lietu pārvaldes (PMLP) kompetencē. Ievērojot to, ka pašvaldību referendumi var norisināties vairākas reizes gadā un paralēli arī būs jānodrošina datu apkopošanu kārtējām vēlēšanām, PMLP būs jānodrošina datu apstrādes procesa nepārtrauktība. Lai sekmīgi īstenotu minēto, PMLP ir nepieciešami papildu cilvēkresursi – 2 darbinieki. Tādējādi, Iekšlietu ministrija lūdza IZ paredzēt finansējuma nepieciešamību PMLP darbiniekiem, kuri līdz 2029.gadam pildīs ar vēlētāju un balsotāju datu apstrādi saistītos pienākumus. Papildu finansējuma apmērs tika norādīts atzinuma failā “5.pielikums “PMLP papildu nepieciešamais finansējums Vēlētāju reģistra apkalpojošajām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izskatāmais dokuments 23-TA-3152 nepārprotami skar IZ norādīto, tad lūdzam rīkojuma projektā iekļaut informāciju, ka VR darbības nodrošināšanai PMLP ir nepieciešami papildu cilvēkresursi – 2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nepieciešamas papildu amata vietas VR darbības nodrošināšanai, sākot ar 2024.gada1. jūlija līdz tā nodošanai VRAA- papildus divi speciālisti (Sistēmu un biznesa procesu analītiķi) (uz pilnu slodzi).  VR  darbības nodrošināšanai atlīdzības finansējums 2024.gadam tiks pieprasīts no budžeta 74.programmas "Gadskārtējā valsts budžeta izpildes procesā pārdalāmais finansējums". 2024.gadā- 98 418 EUR, 2025.gadā- 208 645 EUR, 2026.gadā- 217 814 EUR, 2027. gadā un turpmāk- 225 986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IeM finansējumu 2 jaunu amata vietu izveidošanai pieprasīt likumprojekta "Par valsts budžetu 2025. gadam un budžeta ietvaru  2025., 2026. un 2027. gadam" sagatavošanas procesā kopā ar visu ministriju un citu centrālo valsts iestāžu prioritāro pasākumu pieteikumiem, ievērojot valsts budžeta finansiālās iespējas un saskaņojot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2026.gadā Centrālajai vēlēšanu komisijai ne vairāk kā 142 506 euro un sākot ar 2027.gadu ne vairāk kā 134 510  euro gadā. Nepieciešamo finansējumu pieprasīt normatīvajos aktos noteiktajā kārtībā, ievērojot Likuma par budžetu un finanšu vadību 9.1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projekta 5.1. un 5.2. apakšpunku, jo Likumam par budžetu un finanšu vadību nav 9.1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2026.gadā Valsts reģionālās attīstības aģentūrai ne vairāk kā 317 917 euro un sākot ar 2027.gadu ne vairāk kā 545 000  euro gadā. Nepieciešamo finansējumu pieprasīt normatīvajos aktos noteiktajā kārtībā, ievērojot Likuma par budžetu un finanšu vadību 9.1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5.2.apakšpunktā atsauci uz Likuma par budžetu un finanšu vadību pantu, t.i.,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Esošā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3.Projekta mērķis un galvenie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3.1.Projekta mērķis un galvenais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arī PMLP pārziņā esošās VR</w:t>
            </w:r>
            <w:r w:rsidR="00000000" w:rsidRPr="00000000" w:rsidDel="00000000">
              <w:rPr>
                <w:u w:val="single"/>
                <w:rtl w:val="0"/>
              </w:rPr>
              <w:t xml:space="preserve"> un/vai</w:t>
            </w:r>
            <w:r w:rsidR="00000000" w:rsidRPr="00000000" w:rsidDel="00000000">
              <w:rPr>
                <w:rtl w:val="0"/>
              </w:rPr>
              <w:t xml:space="preserve"> ETVR programmatūras (atkarībā no esošās situācijas analīzes rezultātiem), pielāgojot to funkcionalitāti vietējo pašvaldību referendumu procedūras vajadzībām, tādējādi nodrošinot centralizētus IKT risinājumus izmantošanai pašvaldībās vietējo pašvaldību referendumu procedūru norises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par UN/VAI lietojumu - lūdzam precizēt redakciju, norādot, ka PMLP ir Vēlētāju reģistra pārzinis līdz jaunās vēlēšanu platformas ieviešanai (prognozējoši no 2025.gada līdz 2029.gadam), savukārt ETVR - VRAA pārziņā no 2024.gada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3.Projekta mērķis un galvenie ieguvumi                                                                                                                                                          3.1. Projekta mērķis un galvenais saturs                                                                                                                                                     [....]                                                                                                                                                                                                                  Projekta ietvaros paredzēts pilnveidot arī PMLP pārziņā</w:t>
            </w:r>
            <w:r w:rsidR="00000000" w:rsidRPr="00000000" w:rsidDel="00000000">
              <w:rPr>
                <w:u w:val="single"/>
                <w:rtl w:val="0"/>
              </w:rPr>
              <w:t xml:space="preserve"> esošā VR, kurš būs PMLP pārziņā laika periodā no 2025.-2029. gadam, un no 2024. gada 1.septembra VRAA pārziņā esošā </w:t>
            </w:r>
            <w:r w:rsidR="00000000" w:rsidRPr="00000000" w:rsidDel="00000000">
              <w:rPr>
                <w:rtl w:val="0"/>
              </w:rPr>
              <w:t xml:space="preserve">ETVR programmatūras (atkarībā no esošās situācijas analīzes rezultātiem), pielāgojot to funkcionalitāti vietējo pašvaldību referendumu procedūras vajadzībām, tādējādi nodrošinot centralizētus IKT risinājumus izmantošanai pašvaldībās vietējo pašvaldību referendumu procedūru norises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3.1. apakšpunktā precizēta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arī PMLP pārziņā esošo VR, kurš būs PMLP pārziņā laika periodā no 2025.-2029. gadam, un no 2024. gada 1.septembra VRAA pārziņā esošā ETVR programmatūras (atkarībā no esošās situācijas analīzes rezultātiem), pielāgojot to funkcionalitāti vietējo pašvaldību referendumu procedūras vajadzībām, tādējādi nodrošinot centralizētus IKT risinājumus izmantošanai pašvaldībās vietējo pašvaldību referendumu procedūru norises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grozīti Ministru kabineta 2022. gada 19. jūlija noteikumi Nr. 435 "Eiropas Savienības Atveseļošanas un noturības mehānisma plāna 2. komponentes "Digitālā transformācija" 2.1. reformu un investīciju virziena "Valsts pārvaldes, tai skaitā pašvaldību, digitālā transformācija" īstenošanas noteikumi", kuri paredz izmaiņas investīcijas nolūkā "2.1.1.1. Vēlēšanu procesu digitalizācija un automatizācija " un investīcijas nolūka "2.1.3.1. Vienotās datu koplietošanas platformas attīstība, vides nozares un sociālo pakalpojumu datu pieejamības un koplietošanas nodrošināšana, kā arī priekšnosacījumu radīšana inovatīviem mobilitātes pakalpojumiem, nodrošinot tīkla kvalitātes digitālo kartējumu" (turpmāk - 2.1.3.1. nolūks), lūdzam papildināt anotāciju vai izziņu ar informāciju attiecībā uz visiem 2.1.3.1. nolūka ietvaros plānotājiem projektiem, lai būtu iespējams pārbaudīt šī konkrēta projekta finansējuma atbilstību apstiprinātajam Atveseļošanas un noturības mehānisma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informācija par visiem 2.1.3.1.i. nolūka ietvaros plānotājiem projektiem ir pieejama, iepazīstoties ar tiesību akta lietu Nr. 23-TA-1729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https://vktap.mk.gov.lv/legal_acts/headers/b5421c48-79af-4cc8-8be5-aeadf3319970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1.6.sadaļā “Cita informācija” ir iekļauta informācija, ka “Valsts reģionālās attīstības aģentūra (turpmāk – VRAA) kā finansējuma saņēmējam sniegtais atbalsts nav kvalificējams kā komercdarbības atbalsts, jo tas tiks piešķirts valsts deleģētas funkcijas veikšanai”. Ņemot vērā, ka tā ir būtiska informācija projekta izvērtēšanai, lūdzam šo informāciju iekļaut arī 2.1.3.1.i. investīcijas projekta “Vēlēšanu procesu digitalizācija un automatizācija ”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8.nodaļa “Cita būtiska informācija”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aģentūrai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“Vēlēšanu procesu digitalizācija un automatizācija ”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rīkojuma projekts un tā anotācija neparedz finansējumu Centrālajai vēlēšanu komisijai projekta īstenošanas rezultātu uzturēšanai, lūdzam attiecīgi precizēt 2.pielikuma “Centralizētas funkcijas vai koplietošanas pakalpojumu attīstības plāns” 7. un 8. sadaļu, svītrojot tajās informāciju par Centrālajai vēlēšanu komisijai nepieciešamajām projekta rezultātu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2.pielikuma “Centralizētas funkcijas vai koplietošanas pakalpojumu attīstības plāns” 7. un 8.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2023. gada 13. decembrī sniedza atzinumu par informatīvā ziņojuma “Par vēlēšanu procesu nodrošināšanai nepieciešamo informācijas un komunikācijas tehnoloģiju,  resursu apjomu un ilgtermiņa vīziju” (23-TA-3158) projektu (turpmāk – IZ). Atzinumā Iekšlietu ministrija norādīja, ka līdz 2029. gadam Vēlētāju reģistra uzturēšana un nepieciešamo datu apstrāde kārtējām vēlēšanām, pašvaldību referendumiem un, iespējams, ārkārtējām vēlēšanām būs Pilsonības un migrācijas lietu pārvaldes (PMLP) kompetencē. Ievērojot to, ka pašvaldību referendumi var norisināties vairākas reizes gadā un paralēli arī būs jānodrošina datu apkopošanu kārtējām vēlēšanām, PMLP būs jānodrošina datu apstrādes procesa nepārtrauktība. Lai sekmīgi īstenotu minēto, PMLP ir nepieciešami papildu cilvēkresursi – 2 darbinieki. Tādējādi, Iekšlietu ministrija lūdza IZ paredzēt finansējuma nepieciešamību PMLP darbiniekiem, kuri līdz 2029.gadam pildīs ar vēlētāju un balsotāju datu apstrādi saistītos pienākumus. Papildu finansējuma apmērs tika norādīts atzinuma failā “5.pielikums “PMLP papildu nepieciešamais finansējums Vēlētāju reģistra apkalpojošajām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izskatāmais dokuments 23-TA-3152 nepārprotami skar IZ norādīto, tad lūdzam rīkojuma projektā iekļaut informāciju, ka VR darbības nodrošināšanai PMLP ir nepieciešami papildu cilvēkresursi – 2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8.sadaļu 'Pakalpojuma sniegšanas uzsākšanai vai izvēršanai nepieciešamā papildu valsts budžeta finansējuma apmērs un pamatojums, ņemot vērā arī ieguvumus un izmaksas' nepieciešams papildināt ar šādu informāciju:                                                                                                                                                               PMLP VR darbības nodrošināšanai, sākot ar 2024.gada1. jūlija līdz tā nodošanai VRAA, nepieciešami papildus divi speciālisti -Sistēmu un biznesa procesu analītiķi (uz pilnu slodzi). Atlīdzībai nepieciešamais finansējums 2024.gadā- 98 418 EUR, 2025.gadā- 208 645 EUR, 2026.gadā- 217 814 EUR, 2027. gadā un turpmāk- 225 986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IeM finansējumu 2 jaunu amata vietu izveidošanai pieprasīt likumprojekta "Par valsts budžetu 2025. gadam un budžeta ietvaru  2025., 2026. un 2027. gadam" sagatavošanas procesā kopā ar visu ministriju un citu centrālo valsts iestāžu prioritāro pasākumu pieteikumiem, ievērojot valsts budžeta finansiālās iespējas un saskaņojot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Esošā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arī Pilsonības un migrācijas lietu pārvaldes (turpmāk – PMLP) pārziņā esošā </w:t>
            </w:r>
            <w:r w:rsidR="00000000" w:rsidRPr="00000000" w:rsidDel="00000000">
              <w:rPr>
                <w:b w:val="1"/>
                <w:rtl w:val="0"/>
              </w:rPr>
              <w:t xml:space="preserve">Vēlēšanu reģistra</w:t>
            </w:r>
            <w:r w:rsidR="00000000" w:rsidRPr="00000000" w:rsidDel="00000000">
              <w:rPr>
                <w:u w:val="single"/>
                <w:rtl w:val="0"/>
              </w:rPr>
              <w:t xml:space="preserve"> </w:t>
            </w:r>
            <w:r w:rsidR="00000000" w:rsidRPr="00000000" w:rsidDel="00000000">
              <w:rPr>
                <w:rtl w:val="0"/>
              </w:rPr>
              <w:t xml:space="preserve">(turpmāk -VR) </w:t>
            </w:r>
            <w:r w:rsidR="00000000" w:rsidRPr="00000000" w:rsidDel="00000000">
              <w:rPr>
                <w:b w:val="1"/>
                <w:rtl w:val="0"/>
              </w:rPr>
              <w:t xml:space="preserve">un/vai</w:t>
            </w:r>
            <w:r w:rsidR="00000000" w:rsidRPr="00000000" w:rsidDel="00000000">
              <w:rPr>
                <w:rtl w:val="0"/>
              </w:rPr>
              <w:t xml:space="preserve"> Elektroniskā tiešsaistes vēlētāju reģistra (turpmāk – ETVR) programmatūras (atkarībā no esošās situācijas analīzes rezultātiem), pielāgojot to funkcionalitāti vietējo pašvaldību referendumu procedūras vajadzībām, tādējādi nodrošinot centralizētus informācijas un komunikācijas tehnoloģiju (turpmāk – IKT) risinājumus izmantošanai pašvaldībās vietējo pašvaldību referendumu procedūru norises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par UN/VAI un VR nosaukumu - lūdzam precizēt teksta redakciju, norādot, ka PMLP ir Vēlētāju reģistra pārzinis līdz jaunās vēlēšanu platformas ieviešanai (prognozējoši no 2025.gada līdz 2029.gadam), savukārt ETVR - VRAA pārziņā no 2024.gada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arī Pilsonības un migrācijas lietu pārvaldes (turpmāk – PMLP) pārziņā</w:t>
            </w:r>
            <w:r w:rsidR="00000000" w:rsidRPr="00000000" w:rsidDel="00000000">
              <w:rPr>
                <w:b w:val="1"/>
                <w:rtl w:val="0"/>
              </w:rPr>
              <w:t xml:space="preserve"> esošā Vēlētāju reģistra</w:t>
            </w:r>
            <w:r w:rsidR="00000000" w:rsidRPr="00000000" w:rsidDel="00000000">
              <w:rPr>
                <w:rtl w:val="0"/>
              </w:rPr>
              <w:t xml:space="preserve"> (turpmāk – VR), </w:t>
            </w:r>
            <w:r w:rsidR="00000000" w:rsidRPr="00000000" w:rsidDel="00000000">
              <w:rPr>
                <w:b w:val="1"/>
                <w:rtl w:val="0"/>
              </w:rPr>
              <w:t xml:space="preserve">kurš būs PMLP pārziņā laika periodā no 2025.-2029. gadam, un no 2024. gada 1.septembra Valsts reģionālās attīstības aģentūras pārziņā esošā</w:t>
            </w:r>
            <w:r w:rsidR="00000000" w:rsidRPr="00000000" w:rsidDel="00000000">
              <w:rPr>
                <w:rtl w:val="0"/>
              </w:rPr>
              <w:t xml:space="preserve"> Elektroniskā tiešsaistes vēlētāju reģistra (turpmāk – ETVR) programmatūras (atkarībā no esošās situācijas analīzes rezultātiem), pielāgojot to funkcionalitāti vietējo pašvaldību referendumu procedūras vajadzībām, tādējādi nodrošinot centralizētus informācijas un komunikācijas tehnoloģiju (turpmāk – IKT) risinājumus izmantošanai pašvaldībās vietējo pašvaldību referendumu procedūru norises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arī Pilsonības un migrācijas lietu pārvaldes (turpmāk – PMLP) pārziņā esošā Vēlēšanu reģistra (turpmāk -VR), kurš būs PMLP pārziņā laika periodā no 2025.-2029. gadam, un no 2024. gada 1.septembra Valsts reģionālās attīstības aģentūras pārziņā esošā Elektroniskā tiešsaistes vēlētāju reģistra (turpmāk – ETVR) programmatūras (atkarībā no esošās situācijas analīzes rezultātiem), pielāgojot to funkcionalitāti vietējo pašvaldību referendumu procedūras vajadzībām, tādējādi nodrošinot centralizētus informācijas un komunikācijas tehnoloģiju (turpmāk – IKT) risinājumus izmantošanai pašvaldībās vietējo pašvaldību referendumu procedūru norises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projekta ieviešanas rezultātā netiek ietekmētas atsevišķas sabiedrības grupas. Tiesību akta projekta anotācijā minēts, ka "Nodrošinot iespēju balsot elektroniski pašvaldību referendumos, tiktu radīta iespēja piedalīties tajos digitālā, ērtā un vienkāršā vidē, veicinot arī vēlētāju aktivitāti, tostarp jaunākajā vēlētāju daļā". Pēc minētā var secināt, ka projekta rezultātā pozitīvi tiks ietekmēti balsstiesīgie pašvaldību iedzīvotāji, kas varēs balsot elektroniski, ekonomējot laiku un resursus, salīdzinot ar klātienes balsošanu.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2.sadaļu, jo projektam ir ietekme uz Latvijas un Eiropas Savienības  pilsoņiem demokrātijas īstenošanai un līdzdalībai, aktīvākai iesaistei suverēnās varas realizācijai pašvaldībās sabiedrībai svarīgu un izšķirošu jautājumu izlemšanā vietējos pašvaldību referendumos.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aizpildīta,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2023. gada 13. decembrī sniedza atzinumu par informatīvā ziņojuma “Par vēlēšanu procesu nodrošināšanai nepieciešamo informācijas un komunikācijas tehnoloģiju,  resursu apjomu un ilgtermiņa vīziju” (23-TA-3158) projektu (turpmāk – IZ). Atzinumā Iekšlietu ministrija norādīja, ka līdz 2029. gadam Vēlētāju reģistra uzturēšana un nepieciešamo datu apstrāde kārtējām vēlēšanām, pašvaldību referendumiem un, iespējams, ārkārtējām vēlēšanām būs Pilsonības un migrācijas lietu pārvaldes (PMLP) kompetencē. Ievērojot to, ka pašvaldību referendumi var norisināties vairākas reizes gadā un paralēli arī būs jānodrošina datu apkopošanu kārtējām vēlēšanām, PMLP būs jānodrošina datu apstrādes procesa nepārtrauktība. Lai sekmīgi īstenotu minēto, PMLP ir nepieciešami papildu cilvēkresursi – 2 darbinieki. Tādējādi, Iekšlietu ministrija lūdza IZ paredzēt finansējuma nepieciešamību PMLP darbiniekiem, kuri līdz 2029.gadam pildīs ar vēlētāju un balsotāju datu apstrādi saistītos pienākumus. Papildu finansējuma apmērs tika norādīts atzinuma failā “5.pielikums “PMLP papildu nepieciešamais finansējums Vēlētāju reģistra apkalpojošajām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izskatāmais dokuments 23-TA-3152 nepārprotami skar IZ norādīto, tad lūdzam Anotācijas 3.sadaļā iekļaut informāciju, ka VR darbības nodrošināšanai PMLP ir nepieciešami papildu cilvēkresursi – 2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sadaļu 'Tiesību akta projekta ietekme uz valsts budžetu un pašvaldību budžetiem' 7.punktu nepieciešams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nepieciešamas papildu amata vietas Vēlētāju reģistra (VR) darbības nodrošināšanai, sākot ar 2024.gada1. jūlija līdz tā nodošanai VRAA- papildus divi speciālisti (Sistēmu un biznesa procesu analītiķi) (uz pilnu slodzi).  VR  darbības nodrošināšanai atlīdzības finansējums 2024.gadam tiks pieprasīts no budžeta 74.programmas "Gadskārtējā valsts budžeta izpildes procesā pārdalāmais finansējums". 2024.gadā- 98 418 EUR, 2025.gadā- 208 645 EUR, 2026.gadā- 217 814 EUR, 2027. gadā un turpmāk- 225 986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IeM finansējumu 2 jaunu amata vietu izveidošanai pieprasīt likumprojekta "Par valsts budžetu 2025. gadam un budžeta ietvaru  2025., 2026. un 2027. gadam" sagatavošanas procesā kopā ar visu ministriju un citu centrālo valsts iestāžu prioritāro pasākumu pieteikumiem, ievērojot valsts budžeta finansiālās iespējas un saskaņojot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projekts ietekmēs katru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52.2.6.1 apakšpunktam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23-TA-3152</w:t>
    </w:r>
    <w:r>
      <w:br/>
    </w:r>
    <w:r w:rsidR="00000000" w:rsidRPr="00000000" w:rsidDel="00000000">
      <w:rPr>
        <w:rtl w:val="0"/>
      </w:rPr>
      <w:t xml:space="preserve">21.02.2024. 17.14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23-TA-3152</w:t>
    </w:r>
    <w:r>
      <w:br/>
    </w:r>
    <w:r w:rsidR="00000000" w:rsidRPr="00000000" w:rsidDel="00000000">
      <w:rPr>
        <w:rtl w:val="0"/>
      </w:rPr>
      <w:t xml:space="preserve">21.02.2024. 17.14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Izziņa_23-TA-3152.docx</dc:title>
</cp:coreProperties>
</file>

<file path=docProps/custom.xml><?xml version="1.0" encoding="utf-8"?>
<Properties xmlns="http://schemas.openxmlformats.org/officeDocument/2006/custom-properties" xmlns:vt="http://schemas.openxmlformats.org/officeDocument/2006/docPropsVTypes"/>
</file>