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24-TA-828: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1.2. apakšpunktu. Vēršam uzmanību, ka atbilstoši tā redakcijai un anotācijas 1.3. apakšsadaļā sniegtajiem skaidrojumiem, šķietami plānoti grozījumi citā Ministru kabineta 2011. gada 25. janvāra noteikumu Nr. 75 "Noteikumi par aktīvo nodarbinātības pasākumu un preventīvo bezdarba samazināšanas pasākumu organizēšanas un finansēšanas kārtību un pasākumu īstenotāju izvēles principiem" (turpmāk - noteikumi Nr. 75) vienībā,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 apakšsadaļā norādīts, ka noteikumu Nr. 75 34.</w:t>
            </w:r>
            <w:r w:rsidR="00000000" w:rsidRPr="00000000" w:rsidDel="00000000">
              <w:rPr>
                <w:vertAlign w:val="superscript"/>
                <w:rtl w:val="0"/>
              </w:rPr>
              <w:t xml:space="preserve">7</w:t>
            </w:r>
            <w:r w:rsidR="00000000" w:rsidRPr="00000000" w:rsidDel="00000000">
              <w:rPr>
                <w:rtl w:val="0"/>
              </w:rPr>
              <w:t xml:space="preserve">3 apakšpunktā jāparedz iespēja noteikt elastīgu mācību prakses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75 </w:t>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4. apakšpunkts attiecināms uz prakses organizēšanas laiku un tajā jau ir paredzēta iespēja vienoties par iespēju mainīt tās organizēšanas, īstenošanas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5.4. apakšsadaļas 1. tabulu, nodrošinot precīzu noteikumu projekta atbilstības atspoguļojumu Eiropas Savienības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noteikumu projekta 1.1. apakšpunktu, tiek veikti grozījumi vairākos noteikumu Nr.75 punktos un, uz katru, atbilstoši noteikumu Nr.75 redakcijai, attiecināmas atšķirīgas Eiropas Savienības tiesību normas. Attiecīgi, anotācijas 5.4. apakšsadaļas 1. tabulas "B" ailē, pie norādes uz noteikumu projekta 1.1. apakšpunktu iesakām ietvert arī atsauci uz konkrēto noteikumu Nr.75 tiesību normu. Piemēram, rindas "Vispārīga atsauce" "B" ailē norādot nevis "1.1., 1.3.punkts", bet "1.1. (MK noteikumu 192.</w:t>
            </w:r>
            <w:r w:rsidR="00000000" w:rsidRPr="00000000" w:rsidDel="00000000">
              <w:rPr>
                <w:vertAlign w:val="superscript"/>
                <w:rtl w:val="0"/>
              </w:rPr>
              <w:t xml:space="preserve">11</w:t>
            </w:r>
            <w:r w:rsidR="00000000" w:rsidRPr="00000000" w:rsidDel="00000000">
              <w:rPr>
                <w:rtl w:val="0"/>
              </w:rPr>
              <w:t xml:space="preserve"> un 192.</w:t>
            </w:r>
            <w:r w:rsidR="00000000" w:rsidRPr="00000000" w:rsidDel="00000000">
              <w:rPr>
                <w:vertAlign w:val="superscript"/>
                <w:rtl w:val="0"/>
              </w:rPr>
              <w:t xml:space="preserve">20</w:t>
            </w:r>
            <w:r w:rsidR="00000000" w:rsidRPr="00000000" w:rsidDel="00000000">
              <w:rPr>
                <w:rtl w:val="0"/>
              </w:rPr>
              <w:t xml:space="preserve"> punkts), 1.3.punkts".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panta 1.punkta "a", "b", "c", "d", "e" apakšpunkts", atbilstoši noteikumu projekta redakcijai nav ieviests gan noteikumu projekta 1.4., gan 1.5. apakšpunktā. Pamatojoties uz noteikumu projektu, tā 1.4. apakšpunkts ievieš "1. panta 1. punkta "e" apakšpunktu", bet 1.5. apakšpunkts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1.tabula un Noteikumu projektā 1.5.apakšpunktā (jaunā redakcijā 1.6.apakšpunkts) svītrota atsauce atsauce uz "e"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spēkā esošos noteikumus un attiecīgi noteikumu projektu ar regulējumu par konkrētu datumu, līdz kuram atbalsta programmas ietvaros drīkst piešķirt de minimis atbalstu (ne garāku par 2031.gada 30.jūniju, jo nevar pārsniegt Komisijas regulas Nr.2023/2831 7.panta 3.punktā un 8.pantā noteikto darbības termiņu, kas ir 2031.gada 30.jūnijs). Atbalsta programmas izstrādātājs, protams, ir tiesīgs noteikt īsāku atbalsta programmas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noteikumu ietvaros piešķir līdz [xx.xx.xxxx]."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192.</w:t>
            </w:r>
            <w:r w:rsidR="00000000" w:rsidRPr="00000000" w:rsidDel="00000000">
              <w:rPr>
                <w:vertAlign w:val="superscript"/>
                <w:rtl w:val="0"/>
              </w:rPr>
              <w:t xml:space="preserve">19</w:t>
            </w:r>
            <w:r w:rsidR="00000000" w:rsidRPr="00000000" w:rsidDel="00000000">
              <w:rPr>
                <w:rtl w:val="0"/>
              </w:rPr>
              <w:t xml:space="preserve"> punkts papildināts ar </w:t>
            </w:r>
            <w:r w:rsidR="00000000" w:rsidRPr="00000000" w:rsidDel="00000000">
              <w:rPr>
                <w:i w:val="1"/>
                <w:rtl w:val="0"/>
              </w:rPr>
              <w:t xml:space="preserve">de minimis</w:t>
            </w:r>
            <w:r w:rsidR="00000000" w:rsidRPr="00000000" w:rsidDel="00000000">
              <w:rPr>
                <w:rtl w:val="0"/>
              </w:rPr>
              <w:t xml:space="preserve"> atbalsta piešķiršanas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neietver kumulācijas normu, proti, kumulācija nav atļauta, lūdzam normu skaidrībai noteikumu projektā iekļaut atbalsta kumulācijas aizliegumu,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attiecībā uz vienām un tām pašām attiecināmajām izmaksām nedrīkst kumulēt ar komercdarbības atbalstu citu atbalsta programmu vai ad-hoc atbalsta projekta ietvaros, tai skaitā citu de minimis atbalstu,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192.</w:t>
            </w:r>
            <w:r w:rsidR="00000000" w:rsidRPr="00000000" w:rsidDel="00000000">
              <w:rPr>
                <w:vertAlign w:val="superscript"/>
                <w:rtl w:val="0"/>
              </w:rPr>
              <w:t xml:space="preserve">16</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nelikumīgs komercdarbības atbalsts ir tikai tāds, kas sniegts pārkāpjot attiecīgo regulu nosacījumus, lūdzam precizēt spēkā esošo noteikumu 192.</w:t>
            </w:r>
            <w:r w:rsidR="00000000" w:rsidRPr="00000000" w:rsidDel="00000000">
              <w:rPr>
                <w:vertAlign w:val="superscript"/>
                <w:rtl w:val="0"/>
              </w:rPr>
              <w:t xml:space="preserve">20</w:t>
            </w:r>
            <w:r w:rsidR="00000000" w:rsidRPr="00000000" w:rsidDel="00000000">
              <w:rPr>
                <w:rtl w:val="0"/>
              </w:rPr>
              <w:t xml:space="preserve">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192.</w:t>
            </w:r>
            <w:r w:rsidR="00000000" w:rsidRPr="00000000" w:rsidDel="00000000">
              <w:rPr>
                <w:vertAlign w:val="superscript"/>
                <w:rtl w:val="0"/>
              </w:rPr>
              <w:t xml:space="preserve">20</w:t>
            </w:r>
            <w:r w:rsidR="00000000" w:rsidRPr="00000000" w:rsidDel="00000000">
              <w:rPr>
                <w:rtl w:val="0"/>
              </w:rPr>
              <w:t xml:space="preserve"> Ja ir pārkāpti Komisijas regulas Nr. 2023/2831, Komisijas regulas Nr. 717/2014 un Komisijas regulas Nr. 1408/2013 nosacījumi, atbalsta saņēmēja pienākums ir atmaksāt finansējuma saņēmējam projekta ietvaros saņemto nelikumīgo de minimis atbalstu, kas piešķirts saskaņā ar attiecīgo regulu, kopā ar procentiem no līdzekļiem, kas ir brīvi no valsts atbalsta, atbilstoši Komercdarbības atbalsta kontroles likuma IV vai V nodaļas nosacījumiem. Par valsts atbalsta piešķiršanas brīdi uzskata šo noteikumu 82., 109.</w:t>
            </w:r>
            <w:r w:rsidR="00000000" w:rsidRPr="00000000" w:rsidDel="00000000">
              <w:rPr>
                <w:vertAlign w:val="superscript"/>
                <w:rtl w:val="0"/>
              </w:rPr>
              <w:t xml:space="preserve">5</w:t>
            </w:r>
            <w:r w:rsidR="00000000" w:rsidRPr="00000000" w:rsidDel="00000000">
              <w:rPr>
                <w:rtl w:val="0"/>
              </w:rPr>
              <w:t xml:space="preserve">, 109.</w:t>
            </w:r>
            <w:r w:rsidR="00000000" w:rsidRPr="00000000" w:rsidDel="00000000">
              <w:rPr>
                <w:vertAlign w:val="superscript"/>
                <w:rtl w:val="0"/>
              </w:rPr>
              <w:t xml:space="preserve">24</w:t>
            </w:r>
            <w:r w:rsidR="00000000" w:rsidRPr="00000000" w:rsidDel="00000000">
              <w:rPr>
                <w:rtl w:val="0"/>
              </w:rPr>
              <w:t xml:space="preserve">, 119. un 133. punktā minētā līguma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norādīt, ka atbalsta sniedzējs veic atbalsta pretendenta izvērtēšanu atbilstoši Komisijas regulas Nr.2023/2831 nosacījumiem uz atbalsta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192.</w:t>
            </w:r>
            <w:r w:rsidR="00000000" w:rsidRPr="00000000" w:rsidDel="00000000">
              <w:rPr>
                <w:vertAlign w:val="superscript"/>
                <w:rtl w:val="0"/>
              </w:rPr>
              <w:t xml:space="preserve">20</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sniedzējs uzglabā visus ar de minimis atbalsta piešķiršanu saistītos datus 10 (desmit) gadus, sākot no dienas, kurā saskaņā ar šajos noteikumos noteikto piešķirts pēdējais de minimis atbalsts, savukārt, de minimis atbalsta saņēmējs uzglabā visus ar de minimis atbalsta piešķiršanu saistītos datus 10 (desmit) gadus no de minimis atbalsta piešķiršanas dienas, lūdzam attiecīgi precizēt noteikumu projektā iekļauto 192.</w:t>
            </w:r>
            <w:r w:rsidR="00000000" w:rsidRPr="00000000" w:rsidDel="00000000">
              <w:rPr>
                <w:vertAlign w:val="superscript"/>
                <w:rtl w:val="0"/>
              </w:rPr>
              <w:t xml:space="preserve">19</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Komisijas regulas Nr.2023/2831 6.panta 3.punkts nosaka, ka "Dalībvalstis reģistrēto informāciju par de minimis atbalstu glabā 10 gadus no atbalsta piešķiršanas dienas", taču vienlaikus Komisijas regulas Nr. 2023/2831 6. panta 7. 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Nr.2023/2831 6.panta 1.punktā ietverto informācijas apjomu, līdz ar to vēršam uzmanību, ka gadījumā, ja attiecīgā nosacījuma redakcijā tiek ietvertas atsauces uz Komisijas regulas Nr.2023/2831 6.panta punktiem, lūdzam norādīt sasaisti ne tikai ar Komisijas regulas Nr.2023/2831 6.panta 3.punktu, bet arī ar Komisijas regulas Nr.2023/2831 6.panta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192.</w:t>
            </w:r>
            <w:r w:rsidR="00000000" w:rsidRPr="00000000" w:rsidDel="00000000">
              <w:rPr>
                <w:vertAlign w:val="superscript"/>
                <w:rtl w:val="0"/>
              </w:rPr>
              <w:t xml:space="preserve">19</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iekļauto 192.</w:t>
            </w:r>
            <w:r w:rsidR="00000000" w:rsidRPr="00000000" w:rsidDel="00000000">
              <w:rPr>
                <w:vertAlign w:val="superscript"/>
                <w:rtl w:val="0"/>
              </w:rPr>
              <w:t xml:space="preserve">12</w:t>
            </w:r>
            <w:r w:rsidR="00000000" w:rsidRPr="00000000" w:rsidDel="00000000">
              <w:rPr>
                <w:rtl w:val="0"/>
              </w:rPr>
              <w:t xml:space="preserve">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12</w:t>
            </w:r>
            <w:r w:rsidR="00000000" w:rsidRPr="00000000" w:rsidDel="00000000">
              <w:rPr>
                <w:rtl w:val="0"/>
              </w:rPr>
              <w:t xml:space="preserve"> Saimnieciskās darbības veicējs, kuram piemēro de minimis atbalstu saskaņā ar Komisijas regulu Nr. 2023/2831 un kurš darbojas nozarēs, kas minētas Komisijas regulas Nr. 2023/2831 1. panta 1. punkta "a", "b", "c" vai “d” apakšpunktā, nodrošina šo nozaru darbību vai uzskaites nodalīšanu, lai darbības izslēgtajās nozarēs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192.</w:t>
            </w:r>
            <w:r w:rsidR="00000000" w:rsidRPr="00000000" w:rsidDel="00000000">
              <w:rPr>
                <w:vertAlign w:val="superscript"/>
                <w:rtl w:val="0"/>
              </w:rPr>
              <w:t xml:space="preserve">12</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iekļauto 192.</w:t>
            </w:r>
            <w:r w:rsidR="00000000" w:rsidRPr="00000000" w:rsidDel="00000000">
              <w:rPr>
                <w:vertAlign w:val="superscript"/>
                <w:rtl w:val="0"/>
              </w:rPr>
              <w:t xml:space="preserve">10</w:t>
            </w:r>
            <w:r w:rsidR="00000000" w:rsidRPr="00000000" w:rsidDel="00000000">
              <w:rPr>
                <w:rtl w:val="0"/>
              </w:rPr>
              <w:t xml:space="preserve"> punktu, jo Komisijas regulas Nr.2023/2831 1.panta a) - d) punkts ietver nosacījumus uz neatbalstāmajām nozarēm, savukārt, Komisijas regulas Nr.2023/2831 1.panta e) un f) punkts ietver nosacījumus uz neatbalstāmajām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192.</w:t>
            </w:r>
            <w:r w:rsidR="00000000" w:rsidRPr="00000000" w:rsidDel="00000000">
              <w:rPr>
                <w:vertAlign w:val="superscript"/>
                <w:rtl w:val="0"/>
              </w:rPr>
              <w:t xml:space="preserve">10</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iekļaut Komisijas regulas Nr.2023/2831 normas, attiecīgi lūdzam precizēt spēkā esošo noteikumu 192.</w:t>
            </w:r>
            <w:r w:rsidR="00000000" w:rsidRPr="00000000" w:rsidDel="00000000">
              <w:rPr>
                <w:vertAlign w:val="superscript"/>
                <w:rtl w:val="0"/>
              </w:rPr>
              <w:t xml:space="preserve">9</w:t>
            </w:r>
            <w:r w:rsidR="00000000" w:rsidRPr="00000000" w:rsidDel="00000000">
              <w:rPr>
                <w:rtl w:val="0"/>
              </w:rPr>
              <w:t xml:space="preserve"> punktu, jo Komisijas regulas Nr. 2023/2831 ietvaros trīs gadu laikposms ir jāvērtē kā slīdošs periods un attiecībā uz katru jaunu de minimis atbalsta piešķiršanu jāņem vērā de minimis atbalsta kopsumma, kas piešķirta iepriekšējos trīs gados, norādot, ka ar trīs gadu periodu saprotams laika periods no konkrēta datuma, kad piešķirts pēdējais atbalsts līdz konkrētam datumam, kas ir jaunā piešķiramā atbalsta datums, piemēram, ja jaunā atbalsta piešķiršanas datums ir 2024.gada 17.jūlijs, trīs gadu periods būs skaitāms līdz 2021.gada 17.jūlijam. Ar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192.</w:t>
            </w:r>
            <w:r w:rsidR="00000000" w:rsidRPr="00000000" w:rsidDel="00000000">
              <w:rPr>
                <w:vertAlign w:val="superscript"/>
                <w:rtl w:val="0"/>
              </w:rPr>
              <w:t xml:space="preserve">9</w:t>
            </w:r>
            <w:r w:rsidR="00000000" w:rsidRPr="00000000" w:rsidDel="00000000">
              <w:rPr>
                <w:rtl w:val="0"/>
              </w:rPr>
              <w:t xml:space="preserve"> punkta redakcija, kā arī papildināta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1.8.apakšpunkta ievaddaļā vārdu “aizstāt”.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1.8.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1.4.apakšpunktā ietvertā MKN 75 192.</w:t>
            </w:r>
            <w:r w:rsidR="00000000" w:rsidRPr="00000000" w:rsidDel="00000000">
              <w:rPr>
                <w:vertAlign w:val="superscript"/>
                <w:rtl w:val="0"/>
              </w:rPr>
              <w:t xml:space="preserve">10</w:t>
            </w:r>
            <w:r w:rsidR="00000000" w:rsidRPr="00000000" w:rsidDel="00000000">
              <w:rPr>
                <w:rtl w:val="0"/>
              </w:rPr>
              <w:t xml:space="preserve">punkta precizējumu, jo tas nav pabeigts (precizējumam būtu jābūt “j</w:t>
            </w:r>
            <w:r w:rsidR="00000000" w:rsidRPr="00000000" w:rsidDel="00000000">
              <w:rPr>
                <w:i w:val="1"/>
                <w:rtl w:val="0"/>
              </w:rPr>
              <w:t xml:space="preserve">a darba devējs darbojas nozarēs, kas minētas Komisijas regulas Nr. 2023/2831 1. panta 1. punkta "a", "b", "c" un "d"  apakšpunktā, vai veic Komisijas </w:t>
            </w:r>
            <w:r w:rsidR="00000000" w:rsidRPr="00000000" w:rsidDel="00000000">
              <w:rPr>
                <w:b w:val="1"/>
                <w:i w:val="1"/>
                <w:u w:val="single"/>
                <w:rtl w:val="0"/>
              </w:rPr>
              <w:t xml:space="preserve">regulas Nr. 2023/2831 1. panta 1. punkta "e" un "f" apakšpunktā,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1.4.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atbilstoši Ministru kabineta 2009.gada 3.februāra noteikumu Nr.108 "Normatīvo aktu projektu sagatavošanas noteikumi" 141. punktam, ievērojot, ka Ministru kabineta noteikumu grozījumu projekta ievaddaļā secīgi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vārdus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grozāmo noteikumu pieņemšanas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vārdu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saīsinājumu vārdam “numurs” –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grozāmo noteikumu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grozāmo noteikumu nosaukumu pēdiņās;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norādi uz noteikumu un to grozījumu publikācijām laikrakstā “Latvijas Vēstnesis” (laikraksta nosaukums, attiecīgo laikraksta numuru izdošanas gadu un numuru uzskaitījums). Minēto norādi raksta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vārdus “šādus grozījumus” (“šādu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ievaddaļa.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1.3.apakšpunkts paredz precizēt spēkā esošo noteikumu 192</w:t>
            </w:r>
            <w:r w:rsidR="00000000" w:rsidRPr="00000000" w:rsidDel="00000000">
              <w:rPr>
                <w:rtl w:val="0"/>
              </w:rPr>
              <w:t xml:space="preserve">.</w:t>
            </w:r>
            <w:r w:rsidR="00000000" w:rsidRPr="00000000" w:rsidDel="00000000">
              <w:rPr>
                <w:vertAlign w:val="superscript"/>
                <w:rtl w:val="0"/>
              </w:rPr>
              <w:t xml:space="preserve">6 </w:t>
            </w:r>
            <w:r w:rsidR="00000000" w:rsidRPr="00000000" w:rsidDel="00000000">
              <w:rPr>
                <w:rtl w:val="0"/>
              </w:rPr>
              <w:t xml:space="preserve">punktu, lūdzam attiecīgi precizēt anotācijas 1.3.sadaļu pie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1.3.sadaļā pie “Risinājuma apraksts” norādīts, ka noteikumu projekts paredz precizēt spēkā esošo noteikumu 34.</w:t>
            </w:r>
            <w:r w:rsidR="00000000" w:rsidRPr="00000000" w:rsidDel="00000000">
              <w:rPr>
                <w:vertAlign w:val="superscript"/>
                <w:rtl w:val="0"/>
              </w:rPr>
              <w:t xml:space="preserve">7</w:t>
            </w:r>
            <w:r w:rsidR="00000000" w:rsidRPr="00000000" w:rsidDel="00000000">
              <w:rPr>
                <w:rtl w:val="0"/>
              </w:rPr>
              <w:t xml:space="preserve"> 3.apakšpunktu pēc analoģijas ar 34.</w:t>
            </w:r>
            <w:r w:rsidR="00000000" w:rsidRPr="00000000" w:rsidDel="00000000">
              <w:rPr>
                <w:vertAlign w:val="superscript"/>
                <w:rtl w:val="0"/>
              </w:rPr>
              <w:t xml:space="preserve">7</w:t>
            </w:r>
            <w:r w:rsidR="00000000" w:rsidRPr="00000000" w:rsidDel="00000000">
              <w:rPr>
                <w:rtl w:val="0"/>
              </w:rPr>
              <w:t xml:space="preserve"> 4.apakšpunktu, kurā ir atrunāta iespēja noteikt elastīgu mācību prakses īstenošanas laiku, taču noteikumu projekts izmaiņas spēkā esošo noteikumu 34.</w:t>
            </w:r>
            <w:r w:rsidR="00000000" w:rsidRPr="00000000" w:rsidDel="00000000">
              <w:rPr>
                <w:vertAlign w:val="superscript"/>
                <w:rtl w:val="0"/>
              </w:rPr>
              <w:t xml:space="preserve">7</w:t>
            </w:r>
            <w:r w:rsidR="00000000" w:rsidRPr="00000000" w:rsidDel="00000000">
              <w:rPr>
                <w:rtl w:val="0"/>
              </w:rPr>
              <w:t xml:space="preserve"> 3.apakšpunktā neparedz, nepieciešams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aprakstu anotācijas 1.3. apakšsadaļā, nodrošinot tiesību normu piemērotājam skaidru, pilnīgu noteikumu projekta izpratni. Vēršam uzmanību, ka anotācijas 1.3. apakšsadaļā, norādot uz noteikumu Nr.75 punktiem, kas pakļauti grozījumiem, tiek norādīts ne uz visām attiecināmajām tiesību normām. Proti, nav ietvertas konkrētas atsauces uz visiem noteikumu projekta punktiem, piemēram, nav minēts noteikumu Nr.75 192.</w:t>
            </w:r>
            <w:r w:rsidR="00000000" w:rsidRPr="00000000" w:rsidDel="00000000">
              <w:rPr>
                <w:vertAlign w:val="superscript"/>
                <w:rtl w:val="0"/>
              </w:rPr>
              <w:t xml:space="preserve">6 </w:t>
            </w:r>
            <w:r w:rsidR="00000000" w:rsidRPr="00000000" w:rsidDel="00000000">
              <w:rPr>
                <w:rtl w:val="0"/>
              </w:rPr>
              <w:t xml:space="preserve">punkts, tādā veidā nenodrošinot pilnīgu noteikumu projekta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iespējamo ietekmi uz sabiedrības grupām. Vēršam uzmanību, ka atbilstoši noteikumu projekta redakcijai un noteikumu Nr.75 būtībai tas ietekmē, var ietekmēt, piemēram, darba devējus un izglītības iestādes, jo tiek paredzēta iespēja savstarpēji rakstiski vienojoties, mainīts apmācību īstenošanas laikus, kā arī bezdarbniekus, darba meklētājus un bezdarba riskam pakļautās personas, kuras iesaistītas apmācību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noteikumu Nr. 75 redakcijai, iepriekš veiktajiem grozījumiem, un to anotācijām secināms, ka ar noteikumu projektā grozījumiem pakļautajām tiesību normām tiek ieviesti arī citi, anotācijas 5. sadaļā nenorādīti, Eiropas Savienības tiesību akti un to tiesību normas. Piemēram, bet ne tikai, Komisijas 2019. gada 21. februāra Regula (ES) Nr. 2019/316, ar ko groza Regulu (ES) Nr.  1408/2013 par Līguma par Eiropas Savienības darbību 107. un 108. panta piemērošanu de minimis atbalstam lauksaimniecības nozarē, Komisijas 2014. gada 27. jūnija Regula (ES) Nr.  717/2014 par Līguma par Eiropas Savienības darbību 107. un 108. panta piemērošanu de minimis atbalstam zvejniecības un akvakultūras nozarē  u.c.. Attiecīgi lūdzam pārskatīt noteikumu projektu un izvērtēt, vai uz to attiecināmās, šī noteikumu projekta anotācijā nenorādītās (iepriekš pārņemtās/ieviestās), Eiropas Savienības tiesību normas joprojām ir attiecināmas. Šādā gadījumā, iesakām papildināt anotācijas 5. sadaļu ar norādēm uz Eiropas Savienības tiesību normām vai norādīt, ka: līdz šim jau pārņemtās/ieviestās,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pilnībā aizpildīt anotācijas 5.4. apakšsadaļas 1. tabulu. Vēršam uzmanību, ka, veicot papildinājumus par Komisijas 2023. gada 13. decembra Regulas (ES) 2023/2831 par Līguma par ES darbību 107. un 108. panta piemērošanu de minimis atbalstam ieviešanu, nav aizpildīta 5. panta 3. punkta ieviešanas "C" un "D" aile.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ņemot vērā noteikumu projektam būtību, tam nepastāv kāda horizontālā ietekme, piemēram, uz iedzīvotāju sociālo situāciju. Nepieciešamības gadījumā lūdzam papildināt attiecīgo anotācijas 8. sadaļas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8.1.8.punkts.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24-TA-828</w:t>
    </w:r>
    <w:r>
      <w:br/>
    </w:r>
    <w:r w:rsidR="00000000" w:rsidRPr="00000000" w:rsidDel="00000000">
      <w:rPr>
        <w:rtl w:val="0"/>
      </w:rPr>
      <w:t xml:space="preserve">30.05.2024. 09.05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24-TA-828</w:t>
    </w:r>
    <w:r>
      <w:br/>
    </w:r>
    <w:r w:rsidR="00000000" w:rsidRPr="00000000" w:rsidDel="00000000">
      <w:rPr>
        <w:rtl w:val="0"/>
      </w:rPr>
      <w:t xml:space="preserve">30.05.2024. 09.05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Izziņa_24-TA-828.docx</dc:title>
</cp:coreProperties>
</file>

<file path=docProps/custom.xml><?xml version="1.0" encoding="utf-8"?>
<Properties xmlns="http://schemas.openxmlformats.org/officeDocument/2006/custom-properties" xmlns:vt="http://schemas.openxmlformats.org/officeDocument/2006/docPropsVTypes"/>
</file>