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22-TA-2484: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2006. gada 25. jūlija noteikumos Nr. 618 "Kārtība, kādā valsts kustamo mantu nodod bez atlīdzības ārvalstu valdību un starpvalstu organizāciju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Svītrot 7.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2006.gada 25.jūlija noteikumu Nr.618 "Kārtība, kādā valsts kustamo mantu nodod bez atlīdzības ārvalstu valdību un starpvalstu organizāciju īpašumā" 7.punktam, ja valsts kustamo mantu nodod bez atlīdzības ārvalsts valdības vai starpvalstu organizācijas īpašumā, pamatojoties uz rakstisku līgumu, attiecīgā ministrija kopā ar informatīvo ziņojumu par nododamo valsts kustamo mantu iesniedz Ministru kabinetā</w:t>
            </w:r>
            <w:r w:rsidR="00000000" w:rsidRPr="00000000" w:rsidDel="00000000">
              <w:rPr>
                <w:u w:val="single"/>
                <w:rtl w:val="0"/>
              </w:rPr>
              <w:t xml:space="preserve"> arī sagatavotu līguma projektu </w:t>
            </w:r>
            <w:r w:rsidR="00000000" w:rsidRPr="00000000" w:rsidDel="00000000">
              <w:rPr>
                <w:rtl w:val="0"/>
              </w:rPr>
              <w:t xml:space="preserve">un pilnvaras projektu līguma parakstīšanai. Savukārt atbilstoši minēto noteikumu 8.punktam līgumu par ministrijas, tās padotībā esošas iestādes vai kapitālsabiedrības valdījumā vai turējumā esošās valsts kustamās mantas nodošanu bez atlīdzības ārvalsts valdības vai starpvalstu organizācijas īpašumā sagatavo un slēdz attiecīgā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paredzēts svītrot minēto noteikumu 7.punktu, tādējādi Ministru kabineta rīkojuma projektam un tā anotācijai turpmāk netiktu pievienots attiecīgs līguma projekts, taču līguma sagatavošanas un slēgšanas nepieciešamība tiktu saglabāta. Līdz ar to nav saprotama attiecīgā grozījuma (nepievienot Ministru kabineta rīkojuma projektam līguma projektu) nepieciešamība.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noteikumu projektā ietverto regulējumu, kā arī gadījumā, ja noteikumu projekta 6.punkts tiek saglabāts piedāvātajā redakcijā, skaidrot pamatotību līguma projekta nepievienošanai.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nav paredzēta līguma projekta iesniegšana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līdzšinējo praksi, līguma saskaņotas versijas pievienošana var aizkavēt izskatāmo dokumentu iesniegšanu izvērtēšanai un Ministru kabineta rīkojuma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Līguma saskaņošana ar iesaistītajām pusēm ir katras ministrijas atbildība un var notikt paralēli konceptuālo jautājumu saskaņošanai ar ministrijām un apstiprināšanai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1.3. apakšsadaļas “Problēmas apraksts” (c) daļa, dzēšot sadaļas “Problēmas apraksts” (c) daļas 2. teikumu.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Attiecīgais ministrs iesniedz izskatīšanai Ministru kabineta sēdē Ministru kabineta rīkojuma projektu, kurā iekļauta informācija par nododamo valsts kustamo mantu, tās apjomu, tehnisko stāvokli, bilances vērtību un pamatojumu nodošanai ārvalstu valdību vai starpvalstu organizāciju īpašumā.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projektā ietvertajam precizētajam Noteikumu 2.punktam paredzēts noteikt, ka attiecīgais ministrs iesniedz izskatīšanai Ministru kabineta sēdē Ministru kabineta rīkojuma projektu, kurā iekļauta informācija par nododamo valsts kustamo mantu, tās apjomu, tehnisko stāvokli, bilances vērtību un pamatojumu nodošanai ārvalstu valdību vai starpvalstu organizāciju īpašumā. Vēršam uzmanību, ka atbilstoši šobrīd spēkā esošajam regulējumam Ministru kabineta rīkojumā tiek ietverta informācija par nododamo valsts kustamo mantu, tās apjomu, bilances vērtību un mantas saņēmēju, savukārt informācija par tehnisko stāvokli un pamatojumu tiek norādīta Ministru kabineta rīkojuma anotācijā (vai iepriekš - informatīvajā ziņojumā), līdz ar to no precizētās Noteikumu 2.punkta redakcijas izriet, ka visa informācija būs norādāma Ministru kabineta rīkojuma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skaidrot, vai tāds ir attiecīgā grozījuma mērķis, t.sk.nepieciešamības gadījumā precizējot attiecīgo noteikumu projekta punktu (aiz vārdiem "rīkojuma projektu" papildinot ar vārdiem " un rīkojuma 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Attiecīgais ministrs iesniedz izskatīšanai Ministru kabineta sēdē Ministru kabineta rīkojuma projektu. Rīkojuma projekta sākotnējās ietekmes (ex-ante) novērtējuma ziņojumā (anotācija) iekļauj informāciju par nododamo valsts kustamo mantu, tās apjomu, tehnisko stāvokli, bilances vērtību un pamatojumu nodošanai ārvalstu valdību vai starpvalstu organizāciju īpašumā.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kustamo mantu nodod bez atlīdzības ārvalstu valdību vai starp­valstu organizāciju īpašumā slēdzot rakstveida līgumu.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noteikumu projektā saglabāt regulējumu par nodošanas un pieņemšanas akta noformēšanu, neslēdzot rakstveida līgumu, gadījumiem, kad nepieciešams operatīvi sniegt atbalstu ārkārtas gadījumos. Sniedzot materiāltehnisko atbalstu Ukrainai saistībā ar Krievijas Federācijas izraisīto karu Ukrainā, praksē ir pierādījies, ka kara apstākļos ir apgrūtināts rakstveida līguma saskaņošanas un noslēgšanas process. Minētā procedūra kavē materiāltehnisko resursu piegādes, savukārt, ja attiecīgie resursi nepieciešami nekavējoties, to neesamība negatīvi ietekmē attiecīgās valsts institūcijas darbības spējas, kas savukārt var palielināt bojāgājušo cilvēku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kustamo mantu nodod bez atlīdzības ārvalstu valdību vai starpvalstu organizāciju īpašumā slēdzot rakstveida līgumu vai noformējot nodošanas un pieņemšanas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kustamo mantu nodod bez atlīdzības ārvalstu valdību vai starp­valstu organizāciju īpašumā, slēdzot rakstveida līgumu.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kustamo mantu nodod bez atlīdzības, noformējot nodošanas un pieņemšanas aktu, ja atsavināmās valsts kustamās mantas kopējā vērtība saskaņā ar grāmatvedības uzskaites datiem nepārsniedz 1000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4.punktu izteikt jaunā redakcijā, paredzot nodošanas un pieņemšanas akta noformēšanu, ja ārkārtas apstākļu dēļ nav iespējams abpusēji saskaņot un noslēgt rakstisku līgumu, ņemot vērā iepriekš minēto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kustamo mantu nodod bez atlīdzības, noformējot nodošanas un pieņemšanas aktu, ja ārvalsti, kurai nododamā valsts kustamā manta nepieciešama nekavējoties, ir skāruši tādi ārkārtas apstākļi, kuru dēļ nav iespējams abpusēji saskaņot un noslēgt rakstveida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Gadījumā, ja objektīvu iemeslu dēļ nav iespējams noslēgt šo noteikumu 3. punktā minēto līgumu, valsts kustamo mantu var nodot bez atlīdzības ārvalstu valdību vai starpvalstu organizāciju īpašumā, noformējot citus valsts kustamās mantas nodošanu un pieņemšanu apliecinošus dokumentus.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Nodošanas un pieņemšanas aktu paraksta attiecīgās Latvijas institūcijas, kuras grāmatvedības uzskaitē ir nododamā valsts kustamā manta, atbildīgā amatpersona un attiecīgās ārvalsts valdības vai starpvalstu organizācijas pilnvarots pārstāvis. Nodošanas un pieņemšanas aktu apstiprina attiecīgās Latvijas institūcijas vadītājs.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spēkā esošajam Ministru kabineta 2006.gada 25.jūlija noteikumu Nr.618 "Kārtība, kādā valsts kustamo mantu nodod bez atlīdzības ārvalstu valdību un starpvalstu organizāciju īpašumā" (turpmāk - MK noteikumi Nr.618) 5.punktam nodošanas un pieņemšanas aktu paraksta attiecīgās Latvijas institūcijas (kuras grāmatvedības uzskaitē ir nododamā valsts kustamā manta) atbildīgā amatpersona un attiecīgās ārvalsts valdības vai starpvalstu organizācijas pilnvarots pārstāvis, kā arī nodošanas un pieņemšanas aktu apstiprina attiecīgais ministrs.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projektā ietvertajam grozījumam minēto noteikumu 5.punktā pašreizējo kārtību paredzēts mainīt, nosakot, ka nodošanas un pieņemšanas aktu apstiprina attiecīgās Latvijas institūcijas vadītājs nevis attiecīgais ministrs kā tas ir bijis līdz šim.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spēkā esošā norma ir salāgota arī ar kārtību, kā tiek slēgts līgums par valsts kustamās mantas nodošanu, t.i.līgumu slēdz ministrija (MK noteikumu Nr.618 8.punkts). Līdzšinējā praksē tas parasti nozīmēja to, ka nodošanas un pieņemšanas aktu parakstīja attiecīgās Latvijas institūcijas vadītājs un pēc tam apstiprināja attiecīgais ministrs. Savukārt no noteikumu projektā ietvertā grozījuma secināms, ka tiek plānots, ka nodošanas un pieņemšanas aktu divreiz parakstītu attiecīgā Latvijas institūcija un attiecīgās jomas ministrijas iesaiste (t.i.ministra apstiprinājums) vairs netiek paredzēta, taču nav sniegts pamatots izvērtējums un skaidrojums šāda grozījuma nepieciešamībai.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papildināt noteikumu projekta anotāciju ar informāciju par grozījuma nepieciešamību un pamatojumu (t.i. kāpēc jāveic šāds grozījums, kāds ir šī grozījuma mērķis, vai ir vērtēta šāda grozījuma nepieciešamība no institucionālās padotības aspekta).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savstarpēja vienošanās un attiecīgi noteikumu projekta sākotnējās ietekmes (ex-ante) novērtējuma ziņojuma (anotācijas) 1.3. apakšsadaļā sadaļas “Problēmas apraksts” (a) un (b) daļas papildinātas ar skaidrojumu, kāpēc nav lietderīga attiecīgā ministra iesaiste nodošanas un pieņemšanas akta apstiprināšanā.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Šo noteikumu 3. punktā minēto līgumu un 4. punktā minētos valsts kustamās mantas nodošanu un pieņemšanu apliecinošos dokumentus noformē un paraksta attiecīgās Latvijas institūcijas, kuras grāmatvedības uzskaitē ir nododamā valsts kustamā manta, atbildīgā amatpersona un attiecīgās ārvalsts valdības vai starpvalstu organizācijas pilnvarots pārstāvis. Minētos dokumentus apstiprina attiecīgās Latvijas institūcijas vadītājs.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Nodošanas un pieņemšanas aktu paraksta attiecīgās Latvijas institūcijas (kuras grāmatvedības uzskaitē ir nododamā valsts kustamā manta) atbildīgā amatpersona un attiecīgās ārvalsts valdības vai starpvalstu organizācijas pilnvarots pārstāvis.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saglabāt 5.punktu, paredzot regulējumu par nodošanas un pieņemšanas akta parakstīšanu, ņemot vērā iepriekš minēto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Nodošanas un pieņemšanas aktu paraksta attiecīgās Latvijas institūcijas (kuras grāmatvedības uzskaitē ir nododamā valsts kustamā manta) atbildīgā amatpersona un attiecīgās ārvalsts valdības vai starpvalstu organizācijas pilnvarots pārstāvis. Nodošanas un pieņemšanas aktu apstiprina attiecīgais ministrs.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5. punkts saglabāts un izteikts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noteikumu projekta sākotnējās ietekmes (ex-ante) novērtējuma ziņojuma (anotācijas) 1.3. apakšsadaļā ietvertā informācija, izsakot citā redakcijā sadaļas “Problēmas apraksts” (b)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Šo noteikumu 3. punktā minēto līgumu un 4. punktā minētos valsts kustamās mantas nodošanu un pieņemšanu apliecinošos dokumentus noformē un paraksta attiecīgās Latvijas institūcijas, kuras grāmatvedības uzskaitē ir nododamā valsts kustamā manta, atbildīgā amatpersona un attiecīgās ārvalsts valdības vai starpvalstu organizācijas pilnvarots pārstāvis. Minētos dokumentus apstiprina attiecīgās Latvijas institūcijas vadītājs.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valsts kustamo mantu nodod bez atlīdzības ārvalsts valdības vai starpvalstu organizācijas īpašumā, pamatojoties uz rakstisku līgumu, attiecīgā ministrija kopā ar informatīvo ziņojumu par nododamo valsts kustamo mantu iesniedz Ministru kabinetā arī sagatavotu līguma projektu un pilnvaras projektu līguma parakstīšanai.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2006. gada 25. jūlija noteikumos Nr. 618 "Kārtība, kādā valsts kustamo mantu nodod bez atlīdzības ārvalstu valdību un starpvalstu organizāciju īpašumā"" (turpmāk – projekts) 6. punkts paredz svītrot Ministru kabineta 2006. gada 25. jūlija noteikumu Nr. 618 "Kārtība, kādā valsts kustamo mantu nodod bez atlīdzības ārvalstu valdību un starpvalstu organizāciju īpašumā" (turpmāk – noteikumi) 7. punktu, kas cita starpā paredz ministrijas pienākumu iesniegt līguma projektu Ministru kabinetā. Vienlaikus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1.3. apakšsadaļā norādīts, ka ministriju attiecīgās amatpersonas ir tiesīgas pārstāvēt ministriju vai slēgt starptautiskus līgumus bez īpaša pilnvarojuma saskaņā ar saviem nolikumiem. </w:t>
            </w:r>
            <w:r w:rsidR="00000000" w:rsidRPr="00000000" w:rsidDel="00000000">
              <w:rPr>
                <w:u w:val="single"/>
                <w:rtl w:val="0"/>
              </w:rPr>
              <w:t xml:space="preserve">Turklāt, Ministru kabineta sēdē apstiprinot Ministru kabineta rīkojumu, tā anotāciju, t.sk., līguma projektu (iepriekš informatīvā ziņojuma sastāvdaļa), ministrija jau tiek pilnvarota parakstīt konkrēto līgumu par attiecīgās kustamās mantas nodošanu</w:t>
            </w:r>
            <w:r w:rsidR="00000000" w:rsidRPr="00000000" w:rsidDel="00000000">
              <w:rPr>
                <w:rtl w:val="0"/>
              </w:rPr>
              <w:t xml:space="preserve">. No iepriekš minētā secināms, ka nav mērķis atteikties no līguma projekta iesniegšanas Ministru kabinetā. Ja noteikumu 8. punkts tiek saglabāts bez noteikumu 7. punkta, proti, bez pienākuma līguma projektu iesniegt Ministru kabinetā, tad tas būtu uzskatāms kā ministrijas pienākums sagatavot līgumu, bez iesniegšanas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projektā paredzētos grozījumus un nepieciešamības gadījumā precizēt projektu, kā arī precizēt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1.3. apakšsadaļā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konsolidētajā versijā 7. punkts ir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sākotnējās ietekmes (ex-ante) novērtējuma ziņojuma (anotācijas) 1.3. apakšsadaļā ietvertā informācija, dzēšot sadaļas “Problēmas apraksts” (c) daļas 2.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3.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Civillikuma 1511.pantu Līgums ir vairāku personu savstarpēja vienošanās par kādu tiesisku attiecību nodibināšanu, pārgrozīšanu vai izbeigšanu, savukārt šaurākā nozīmē līgums ir saistību tiesību nodibināšanas dokuments.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vispārējās grāmatvedības reglamentējošo normatīvo aktu prasībām grāmatvedības reģistros ir veicami ieraksti, proti, darījuma izsekojamībai ir nepieciešami preču piegādes dokumenti. (Grāmatvedības likuma 12.panta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nododot valsts kustamo mantu bez atlīdzības ārvalstu valdību vai starp-valstu organizāciju īpašumā, neatkarīgi no tā vai tiks noslēgts līgums ir noformējams mantas nodošanas un pieņemšanas apliecinošs dokuments, līdz ar ko, lūdzam izvērtēt noteikumu 3.punkta redakcija maiņas nepieciešamību (vai nepieciešami 3.punkta grozījumi), nosakot izvēles iespēju starp līguma slēgšanu un nodošanas un pieņemšanas akta noformēšanu.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noteikumu 3.punkta redakcijas maiņa nav nepieciešama, ņemot vērā, ka noteikumu 4.punktam tiek mainīta redakcija, nosakot atkāpi līguma slēgšanas nepieciešamībai.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3.punkts, svītrojot vārdus "vai noformējot nodošanas un pieņemšanas aktu", kuri jau bija iepriekšējās redakcijās svītroti, bet uz pēdējo redakciju nebija saglabājušies.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3.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2006.gada 25.jūlija noteikumu Nr.618 "Kārtība, kādā valsts kustamo mantu nodod bez atlīdzības ārvalstu valdību un starpvalstu organizāciju īpašumā" 4.punktā paredzēts noteikt, ka gadījumā, ja nav iespējams noslēgt šo noteikumu 3. punktā minēto līgumu, valsts kustamo mantu var nodot bez atlīdzības ārvalstu valdību vai starpvalstu organizāciju īpašumā, noformējot </w:t>
            </w:r>
            <w:r w:rsidR="00000000" w:rsidRPr="00000000" w:rsidDel="00000000">
              <w:rPr>
                <w:u w:val="single"/>
                <w:rtl w:val="0"/>
              </w:rPr>
              <w:t xml:space="preserve">citus kustamās mantas nodošanu un pieņemšanu apliecinošus dokumentus</w:t>
            </w:r>
            <w:r w:rsidR="00000000" w:rsidRPr="00000000" w:rsidDel="00000000">
              <w:rPr>
                <w:rtl w:val="0"/>
              </w:rPr>
              <w:t xml:space="preserve">, lūdzam atbilstoši precizēt minēto noteikumu 3.punktu, vārdus "nodošanas un pieņemšanas aktu" aizstājot ar vārdiem "citus kustamās mantas nodošanu un pieņemšanu apliecinošus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kustamo mantu nodod bez atlīdzības ārvalstu valdību vai starp­valstu organizāciju īpašumā, slēdzot rakstveida līgumu vai noformējot citus kustamās mantas nodošanu un pieņemšanu apliecinošus dokumentus."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3.punkts, svītrojot vārdus "vai noformējot nodošanas un pieņemšanas aktu".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4.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Kopsakarā ar noteikumu 3.punkta jauno redakciju izvērtēt nepieciešamību šajā punktā noteikt atkāpi noteikumu 3.punktā noteiktajam, ņemot vērā, ka noteikumu 3.punkts paredz izvēles iespēju noslēgt līgumu VAI noformēt nodošanas pieņemšanas aktu.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papildināt noteikumu 4.punkta redakciju ar nepārvaramu varu, proti, iekļaujot, ka gadījumā, ja nepārvaramas varas dēļ nav iespējams noslēgt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Izvēles iespēja starp līguma slēgšanu un nodošanas un pieņemšanas akta noformēšanu netiek piedāvāta.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3.punkts, svītrojot vārdus "vai noformējot nodošanas un pieņemšanas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4.punkta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Izteikt 5.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mainīt teikuma pirmo saikli "un" uz "vai", ņemot vērā, ka jaunās redakcijas 4.punktā noteiktais dokuments aizstāj 3.punktā noteikto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5.punkta redakcija netiek precizēta, jo ir jāparaksta gan līgums, gan valsts kustamās mantas nodošanas dokuments.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Svītrot 9.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noteikumu 9.punkta svītrošanas nepieciešamību, ņemot vērā, ka noteikumu 9.punkts nosaka galvenās līguma komponentes un atsaucoties uz projekta anotācijā minēto, esošā punkta redakcija neliedz attiecīgajai Latvijas institūcijai noteikt līguma sastāvdaļas atbilstoši faktiskajiem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Pieņemot lēmumu nesvītrot noteikumu 9.punktu, ir nepieciešams mainīt redakciju, ņemot vērā, ka punkts ietver atsauci uz noteikumu punktu, kas tiek svītrots.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Saglabāt 9.punktu, nosaucot līguma sastāvdaļas, nav nepieciešams, jo līguma projekts vairs netiks iesniegts Ministru kabinetā.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1.3.sadaļā attiecībā uz noteikumu 9.3.apakšpunkta precizēšanu norādīts, ka valsts kustamās mantas bilances vērtības un tehniskā apraksta norādīšana līgumā nebūtu obligāti iekļaujama, jo tā var būt sensitīva, kuras izpaušana ārvalstu valdībām un starpvalstu organizācijām nebūtu nepieciešama. Vienlaikus norādīts, ka, slēdzot starptautiskus līgumus, puses iepriekš savstarpēji ir vienojušās par konkrētās kustamās mantas tehniskajiem aspektiem.Līdz ar to pastāv pretruna starp anotācijā norādīto informāciju, jo tiek norādīts, ka tehniskais apraksts var būt sensitīva informācija, taču puses par to ir vienojušās. Lūdzam novērt minēto pretrunu.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anotācijas 1.3.sadaļa attiecībā uz noteikumu 9.3.apakšpunkta precizēšanu - svītrots priekšpēdējais teikums.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anotācijā sniegtajai informācijai "saskaņā ar noteikumu pašreizējo redakciju par vienu jautājumu attiecīgajai ministrijai ir jāsagatavo divi tiesību akti, kas tiek skatīti vienas Ministru kabineta sēdes ietvaros. Tas vieš neskaidrības jautājuma turpmākajā kontrolē un mazina tiesību aktu pārskatāmību, kā arī ir nepamatojams administratīvs slogs gan attiecīgajai ministrijai gatavojot šos tiesību aktus, gan Valsts kancelejai apstrādājot šos tiesību aktus, gan citām iesaistītajām ministrijām sniedzot atzinumus."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minētā problemātika kļuva aktuāla pēc Tiesību aktu portāla ieviešanas, jo tajā nav paredzēta iespēja iesniegt Ministru kabinetā informatīvā ziņojuma projektu, tam pievienojot Ministru kabineta rīkojuma projektu (kā piemēru lūdzam skatīt Ministru kabineta 2017.gada 27.septembra rīkojumu Nr.540 "Par valsts kustamās mantas nodošanu bez atlīdzības Gruzijai" -  atbilstoši iepriekšējai praksei ir pieņemts Ministru kabineta rīkojums, kam pievienots informatīvais ziņojums un pielikumi). Līdz ar to lūdzam papildināt attiecīgo problēmas aprakstu, iekļaujot informāciju par Tiesību aktu portāla funkcionalitātes atšķirību.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nav paredzēts  Ministru kabinetā iesniegt informatīvā ziņojuma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"Ministru kabineta sēdē apstiprinot Ministru kabineta rīkojumu, tā anotāciju,</w:t>
            </w:r>
            <w:r w:rsidR="00000000" w:rsidRPr="00000000" w:rsidDel="00000000">
              <w:rPr>
                <w:u w:val="single"/>
                <w:rtl w:val="0"/>
              </w:rPr>
              <w:t xml:space="preserve"> t.sk. līguma projektu</w:t>
            </w:r>
            <w:r w:rsidR="00000000" w:rsidRPr="00000000" w:rsidDel="00000000">
              <w:rPr>
                <w:rtl w:val="0"/>
              </w:rPr>
              <w:t xml:space="preserve"> (iepriekš informatīvā ziņojuma sastāvdaļa) ministrija jau tiek pilnvarota parakstīt konkrēto līgumu par attiecīgās kustamās mantas nodošanu".  Aicinām apsvērt, vai nav papildināms noteikumu projekts, paredzot, ka Ministru kabineta rīkojuma projektam arī pievienojams līguma projekts. Šobrīd tas no noteikuma projekta teksta nav saprotams.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nav paredzēta līguma projekta iesniegšana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līdzšinējo praksi, līguma saskaņotas versijas pievienošana var aizkavēt izskatāmo dokumentu iesniegšanu izvērtēšanai un Ministru kabineta rīkojuma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Līguma saskaņošana ar iesaistītajām pusēm ir katras ministrijas atbildība un var notikt paralēli konceptuālo jautājumu saskaņošanai ar ministrijām un apstiprināšanai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1.3. apakšsadaļas “Problēmas apraksts” (c) 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Attiecīgais ministrs iesniedz izskatīšanai Ministru kabineta sēdē Ministru kabineta rīkojuma projektu un rīkojuma projekta anotāciju, kurā iekļauta informācija par nododamo valsts kustamo mantu, tās apjomu, tehnisko stāvokli, bilances vērtību un pamatojumu nodošanai ārvalstu valdību vai starpvalstu organizāciju īpašumā.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atbilstoši Ministru kabineta 2009. gada 3. februāra noteikumu Nr. 108 "Normatīvo aktu projektu sagatavošanas noteikumi" 2.2. un 2.3. apakšpunktā noteiktajam </w:t>
            </w:r>
            <w:r w:rsidR="00000000" w:rsidRPr="00000000" w:rsidDel="00000000">
              <w:rPr>
                <w:u w:val="single"/>
                <w:rtl w:val="0"/>
              </w:rPr>
              <w:t xml:space="preserve">normatīvā akta projekta tekstu raksta, ievērojot juridisko terminoloģiju, kā arī normatīvajiem aktiem atbilstošā vienotā stilistikā, izmantojot vienveidīgas un standartizētas vārdiskās izteiksmes</w:t>
            </w:r>
            <w:r w:rsidR="00000000" w:rsidRPr="00000000" w:rsidDel="00000000">
              <w:rPr>
                <w:rtl w:val="0"/>
              </w:rPr>
              <w:t xml:space="preserve">. Ievērojot minēto, kā arī to, ka Ministru kabineta 2021. gada 7. septembra noteikumu Nr. 617 "Tiesību akta projekta sākotnējās ietekmes izvērtēšanas kārtība" tiek minēts termins "</w:t>
            </w:r>
            <w:r w:rsidR="00000000" w:rsidRPr="00000000" w:rsidDel="00000000">
              <w:rPr>
                <w:u w:val="single"/>
                <w:rtl w:val="0"/>
              </w:rPr>
              <w:t xml:space="preserve">tiesību akta projekta sākotnējās ietekmes </w:t>
            </w:r>
            <w:r w:rsidR="00000000" w:rsidRPr="00000000" w:rsidDel="00000000">
              <w:rPr>
                <w:i w:val="1"/>
                <w:u w:val="single"/>
                <w:rtl w:val="0"/>
              </w:rPr>
              <w:t xml:space="preserve">(ex-ante)</w:t>
            </w:r>
            <w:r w:rsidR="00000000" w:rsidRPr="00000000" w:rsidDel="00000000">
              <w:rPr>
                <w:u w:val="single"/>
                <w:rtl w:val="0"/>
              </w:rPr>
              <w:t xml:space="preserve"> novērtējuma ziņojums (anotācija)</w:t>
            </w:r>
            <w:r w:rsidR="00000000" w:rsidRPr="00000000" w:rsidDel="00000000">
              <w:rPr>
                <w:rtl w:val="0"/>
              </w:rPr>
              <w:t xml:space="preserve">", lūdzam precizēt projekta 1. punktā paredzētajā noteikumu 2. punktā minēto terminu "</w:t>
            </w:r>
            <w:r w:rsidR="00000000" w:rsidRPr="00000000" w:rsidDel="00000000">
              <w:rPr>
                <w:u w:val="single"/>
                <w:rtl w:val="0"/>
              </w:rPr>
              <w:t xml:space="preserve">rīkojuma projekta anotācija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projekta 1. punktā paredzētajā noteikumu 2. punktā minētajā Ministru kabineta rīkojuma projekta sākotnējās ietekmes </w:t>
            </w:r>
            <w:r w:rsidR="00000000" w:rsidRPr="00000000" w:rsidDel="00000000">
              <w:rPr>
                <w:i w:val="1"/>
                <w:rtl w:val="0"/>
              </w:rPr>
              <w:t xml:space="preserve">(ex-ante)</w:t>
            </w:r>
            <w:r w:rsidR="00000000" w:rsidRPr="00000000" w:rsidDel="00000000">
              <w:rPr>
                <w:rtl w:val="0"/>
              </w:rPr>
              <w:t xml:space="preserve"> novērtējuma ziņojumā (anotācijā) ir nepieciešams ietvert arī citu informāciju atbilstoši Ministru kabineta 2021. gada 7. septembra noteikumos Nr. 617 "Tiesību akta projekta sākotnējās ietekmes izvērtēšanas kārtība"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Attiecīgais ministrs iesniedz izskatīšanai Ministru kabineta sēdē Ministru kabineta rīkojuma projektu. Rīkojuma projekta sākotnējās ietekmes (ex-ante) novērtējuma ziņojumā (anotācija) iekļauj informāciju par nododamo valsts kustamo mantu, tās apjomu, tehnisko stāvokli, bilances vērtību un pamatojumu nodošanai ārvalstu valdību vai starpvalstu organizāciju īpašumā.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Attiecīgais ministrs iesniedz izskatīšanai Ministru kabineta sēdē Ministru kabineta rīkojuma projektu un rīkojuma projekta anotāciju, kurā iekļauta informācija par nododamo valsts kustamo mantu, tās apjomu, tehnisko stāvokli, bilances vērtību un pamatojumu nodošanai ārvalstu valdību vai starpvalstu organizāciju īpašumā.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nepieciešams atsevišķi norādīt, ka sagatavojama rīkojuma projekta anotācija. Atbilstoši Ministru kabineta 2021. gada 7. septembra noteikumiem Nr.606 "Ministru kabineta kārtības rullis" anotācija ir neatņemama tiesību aktu lietas sastāvdaļa.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ministrs iesniedz izskatīšanai Ministru kabineta sēdē Ministru kabineta rīkojuma projektu, kurā iekļauta informācija par nododamo valsts kustamo mantu, tās apjomu, tehnisko stāvokli, bilances vērtību un pamatojumu nodošanai ārvalstu valdību vai starpvalstu organizāciju īpašumā.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punkta redakcija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Attiecīgais ministrs iesniedz izskatīšanai Ministru kabineta sēdē Ministru kabineta rīkojuma projektu. Rīkojuma projekta sākotnējās ietekmes (ex-ante) novērtējuma ziņojumā (anotācija) iekļauj informāciju par nododamo valsts kustamo mantu, tās apjomu, tehnisko stāvokli, bilances vērtību un pamatojumu nodošanai ārvalstu valdību vai starpvalstu organizāciju īpašumā.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kustamo mantu nodod bez atlīdzības ārvalstu valdību vai starp­valstu organizāciju īpašumā, slēdzot rakstveida līgumu vai noformējot nodošanas un pieņemšanas aktu.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noteikumu projekta "Grozījumi Ministru kabineta 2006. gada 25. jūlija noteikumos Nr. 618 "Kārtība, kādā valsts kustamo mantu nodod bez atlīdzības ārvalstu valdību un starpvalstu organizāciju īpašumā"" (turpmāk – projekts) 2. punktā paredzētajā Ministru kabineta 2006. gada 25. jūlija noteikumu Nr. 618 "Kārtība, kādā valsts kustamo mantu nodod bez atlīdzības ārvalstu valdību un starpvalstu organizāciju īpašumā" (turpmāk – noteikumi) 3. punktā ir minēts </w:t>
            </w:r>
            <w:r w:rsidR="00000000" w:rsidRPr="00000000" w:rsidDel="00000000">
              <w:rPr>
                <w:u w:val="single"/>
                <w:rtl w:val="0"/>
              </w:rPr>
              <w:t xml:space="preserve">nodošanas un pieņemšanas akts</w:t>
            </w:r>
            <w:r w:rsidR="00000000" w:rsidRPr="00000000" w:rsidDel="00000000">
              <w:rPr>
                <w:rtl w:val="0"/>
              </w:rPr>
              <w:t xml:space="preserve">, projekta 3. punktā paredzētajā noteikumu 4. punktā ir minēti </w:t>
            </w:r>
            <w:r w:rsidR="00000000" w:rsidRPr="00000000" w:rsidDel="00000000">
              <w:rPr>
                <w:u w:val="single"/>
                <w:rtl w:val="0"/>
              </w:rPr>
              <w:t xml:space="preserve">kustamās mantas nodošanu un pieņemšanu apliecinoši dokumenti</w:t>
            </w:r>
            <w:r w:rsidR="00000000" w:rsidRPr="00000000" w:rsidDel="00000000">
              <w:rPr>
                <w:rtl w:val="0"/>
              </w:rPr>
              <w:t xml:space="preserve">, un projekta 4. punktā paredzētajā noteikumu 5. punktā ir minēti </w:t>
            </w:r>
            <w:r w:rsidR="00000000" w:rsidRPr="00000000" w:rsidDel="00000000">
              <w:rPr>
                <w:u w:val="single"/>
                <w:rtl w:val="0"/>
              </w:rPr>
              <w:t xml:space="preserve">valsts kustamās mantas nodošanu un pieņemšanu apliecinoši dokumenti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projektā paredzēto noteikumu 3., 4. un 5. punktu, lietojot vienu nosaukumu, kas attiecas uz valsts kustamās mantas nodošanu un pieņemšanu apliecinošiem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3.punkts, svītrojot vārdus "vai noformējot nodošanas un pieņemšanas aktu". Noteikumu 4.punktā aiz vārda "citus" papildināts ar vārdu "valsts", lai pielietotu vienu nosaukumu, kas attiecas uz valsts kustamās mantas nodošanu un pieņemšanu apliecinošiem dokumentiem.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kustamo mantu nodod bez atlīdzības ārvalstu valdību vai starp­valstu organizāciju īpašumā, slēdzot rakstveida līgumu.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kustamo mantu nodod bez atlīdzības ārvalstu valdību vai starp­valstu organizāciju īpašumā slēdzot rakstveida līgumu.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projektā ietvertajam regulējumam paredzēts, ka turpmāk valsts kustamās mantas nodošanai bez atlīdzības ārvalstu valdību vai starpvalstu organizāciju īpašumā visos gadījumos būs jāslēdz rakstveida līgums, tādējādi izslēdzot gadījumus, kad valsts kustamā manta atsavināma, noformējot pieņemšanas un nodošanas aktu. Vēršam uzmanību, ka praksē ir konstatēti gadījumi, kad Veselības ministrija ir norādījusi uz problemātiku valsts kustamās mantas nodošanas bez atlīdzības līgumu sagatavošanā un noslēgšanā (kā piemēru lūdzam skatīt Ministru kabineta 2022.gada 6.jūlija rīkojumu Nr.500 "Par medicīnisko ierīču un zāļu ziedošanu Ukrainai"), līdz ar to aicinām noteikumu projektu saskaņot arī ar Veselības ministriju, kā arī padziļināti izvērtēt noteikumu projektā ietverto regulējumu par to, ka visos gadījumos valsts kustamās mantas nodošanai slēdzams līgums.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kustamo mantu nodod bez atlīdzības ārvalstu valdību vai starp­valstu organizāciju īpašumā, slēdzot rakstveida līgumu.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kustamo mantu nodod bez atlīdzības ārvalstu valdību vai starp­valstu organizāciju īpašumā slēdzot rakstisku līgumu.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w:t>
            </w:r>
            <w:r w:rsidR="00000000" w:rsidRPr="00000000" w:rsidDel="00000000">
              <w:rPr>
                <w:u w:val="single"/>
                <w:rtl w:val="0"/>
              </w:rPr>
              <w:t xml:space="preserve">ar rakstveida dokumentu saprot gan dokumentu papīra formātā, kas ir pašrocīgi parakstīts, gan elektronisko dokumentu, kas ir parakstīts ar drošu elektronisko parakstu</w:t>
            </w:r>
            <w:r w:rsidR="00000000" w:rsidRPr="00000000" w:rsidDel="00000000">
              <w:rPr>
                <w:rtl w:val="0"/>
              </w:rPr>
              <w:t xml:space="preserve">. Elektronisko dokumentu likuma 3. panta otrā daļa noteic, ka </w:t>
            </w:r>
            <w:r w:rsidR="00000000" w:rsidRPr="00000000" w:rsidDel="00000000">
              <w:rPr>
                <w:u w:val="single"/>
                <w:rtl w:val="0"/>
              </w:rPr>
              <w:t xml:space="preserve">elektroniskais dokuments uzskatāms par pašrocīgi parakstītu, ja tam ir drošs elektroniskais paraksts</w:t>
            </w:r>
            <w:r w:rsidR="00000000" w:rsidRPr="00000000" w:rsidDel="00000000">
              <w:rPr>
                <w:rtl w:val="0"/>
              </w:rPr>
              <w:t xml:space="preserve">. Ievērojot minēto, lūdzam aizstāt projekta 2. punktā paredzētajā noteikumu 3. punktā vārdu "</w:t>
            </w:r>
            <w:r w:rsidR="00000000" w:rsidRPr="00000000" w:rsidDel="00000000">
              <w:rPr>
                <w:u w:val="single"/>
                <w:rtl w:val="0"/>
              </w:rPr>
              <w:t xml:space="preserve">rakstisku</w:t>
            </w:r>
            <w:r w:rsidR="00000000" w:rsidRPr="00000000" w:rsidDel="00000000">
              <w:rPr>
                <w:rtl w:val="0"/>
              </w:rPr>
              <w:t xml:space="preserve">" ar vārdu "</w:t>
            </w:r>
            <w:r w:rsidR="00000000" w:rsidRPr="00000000" w:rsidDel="00000000">
              <w:rPr>
                <w:u w:val="single"/>
                <w:rtl w:val="0"/>
              </w:rPr>
              <w:t xml:space="preserve">rakstveida</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punkta redakcija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kustamo mantu nodod bez atlīdzības ārvalstu valdību vai starp­valstu organizāciju īpašumā, slēdzot rakstveida līgumu.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Gadījumā, ja nav iespējams noslēgt šo noteikumu 3. punktā minēto līgumu, valsts kustamo mantu var nodot bez atlīdzības ārvalstu valdību vai starpvalstu organizāciju īpašumā, noformējot citus kustamās mantas nodošanu un pieņemšanu apliecinošus dokumentus.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projekta 3. punktā paredzētajā noteikumu 4. punktā ir paredzēts </w:t>
            </w:r>
            <w:r w:rsidR="00000000" w:rsidRPr="00000000" w:rsidDel="00000000">
              <w:rPr>
                <w:u w:val="single"/>
                <w:rtl w:val="0"/>
              </w:rPr>
              <w:t xml:space="preserve">regulējums attiecībā uz gadījumiem, kad nav iespējams noslēgt rakstveida līgumu</w:t>
            </w:r>
            <w:r w:rsidR="00000000" w:rsidRPr="00000000" w:rsidDel="00000000">
              <w:rPr>
                <w:rtl w:val="0"/>
              </w:rPr>
              <w:t xml:space="preserve">. Savukārt no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1.3. apakšsadaļā ietvertās informācijas izriet, ka šis r</w:t>
            </w:r>
            <w:r w:rsidR="00000000" w:rsidRPr="00000000" w:rsidDel="00000000">
              <w:rPr>
                <w:u w:val="single"/>
                <w:rtl w:val="0"/>
              </w:rPr>
              <w:t xml:space="preserve">egulējums attiecināms uz gadījumiem, kad objektīvu apstākļu dēļ nav iespējams noslēgt rakstveida līgumu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3. punktā paredzēto noteikumu 4. punktu, lai no tā regulējuma būtu viennozīmīgi skaidrs, ka katrā gadījumā ir nepieciešams pamatot, kādu objektīvu iemeslu dēļ nav iespējams noslēgt rakstveida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4.punkta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Gadījumā, ja objektīvu iemeslu dēļ nav iespējams noslēgt šo noteikumu 3. punktā minēto līgumu, valsts kustamo mantu var nodot bez atlīdzības ārvalstu valdību vai starpvalstu organizāciju īpašumā, noformējot citus valsts kustamās mantas nodošanu un pieņemšanu apliecinošus dokumentus.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22-TA-2484</w:t>
    </w:r>
    <w:r>
      <w:br/>
    </w:r>
    <w:r w:rsidR="00000000" w:rsidRPr="00000000" w:rsidDel="00000000">
      <w:rPr>
        <w:rtl w:val="0"/>
      </w:rPr>
      <w:t xml:space="preserve">02.03.2023. 22.06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22-TA-2484</w:t>
    </w:r>
    <w:r>
      <w:br/>
    </w:r>
    <w:r w:rsidR="00000000" w:rsidRPr="00000000" w:rsidDel="00000000">
      <w:rPr>
        <w:rtl w:val="0"/>
      </w:rPr>
      <w:t xml:space="preserve">02.03.2023. 22.06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Izziņa_22-TA-2484.docx</dc:title>
</cp:coreProperties>
</file>

<file path=docProps/custom.xml><?xml version="1.0" encoding="utf-8"?>
<Properties xmlns="http://schemas.openxmlformats.org/officeDocument/2006/custom-properties" xmlns:vt="http://schemas.openxmlformats.org/officeDocument/2006/docPropsVTypes"/>
</file>