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22-TA-2935: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10. marta noteikumos Nr. 130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saistīts ar Ministru kabineta noteikumu projektu "Grozījums Ministru kabineta 2016. gada 29. marta noteikumos Nr. 188 "Darbības programmas "Izaugsme un nodarbinātība" 5.6.1. specifiskā atbalsta mērķa "Veicināt Rīgas pilsētas revitalizāciju, nodrošinot teritorijas efektīvu sociālekonomisko izmantošanu" īstenošanas noteikumi"" (TA-2952) (turpmāk - 5.6.1. SAM grozījumi), lūdzu salāgot abos noteikumu projektos pārdalāmās summas, jo 5.6.1. SAM grozījumos tiek palielināts finansējums 1 354 783 </w:t>
            </w:r>
            <w:r w:rsidR="00000000" w:rsidRPr="00000000" w:rsidDel="00000000">
              <w:rPr>
                <w:i w:val="1"/>
                <w:rtl w:val="0"/>
              </w:rPr>
              <w:t xml:space="preserve">euro</w:t>
            </w:r>
            <w:r w:rsidR="00000000" w:rsidRPr="00000000" w:rsidDel="00000000">
              <w:rPr>
                <w:rtl w:val="0"/>
              </w:rPr>
              <w:t xml:space="preserve"> apmērā, savukārt 5.5.1. specifiskā atbalsta mērķa "Saglabāt, aizsargāt un attīstīt nozīmīgu kultūras un dabas mantojumu, kā arī attīstīt ar to saistītos pakalpojumus" ceturtās projektu iesniegumu atlases kārtai "Kultūras mantojuma saglabāšana, atjaunošana un ar to saistītās infrastruktūras attīstība Rīgas vēsturiskā centra teritorijā" tiek samazināts1 354 784 </w:t>
            </w:r>
            <w:r w:rsidR="00000000" w:rsidRPr="00000000" w:rsidDel="00000000">
              <w:rPr>
                <w:i w:val="1"/>
                <w:rtl w:val="0"/>
              </w:rPr>
              <w:t xml:space="preserve">euro</w:t>
            </w:r>
            <w:r w:rsidR="00000000" w:rsidRPr="00000000" w:rsidDel="00000000">
              <w:rPr>
                <w:rtl w:val="0"/>
              </w:rPr>
              <w:t xml:space="preserve"> apmērā. Attiecīgi precizējot arī kopsummu un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Projektu tiek samazināts 5.5.1.SAM ceturtās atlases kārtas ietvaros pieejamais kopējais finansējums 1 354 783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finansējums 1 151 566 </w:t>
            </w:r>
            <w:r w:rsidR="00000000" w:rsidRPr="00000000" w:rsidDel="00000000">
              <w:rPr>
                <w:i w:val="1"/>
                <w:rtl w:val="0"/>
              </w:rPr>
              <w:t xml:space="preserve">euro</w:t>
            </w:r>
            <w:r w:rsidR="00000000" w:rsidRPr="00000000" w:rsidDel="00000000">
              <w:rPr>
                <w:rtl w:val="0"/>
              </w:rPr>
              <w:t xml:space="preserve"> apmērā, kā arī nacionālais publiskais finansējums 203 217 </w:t>
            </w:r>
            <w:r w:rsidR="00000000" w:rsidRPr="00000000" w:rsidDel="00000000">
              <w:rPr>
                <w:i w:val="1"/>
                <w:rtl w:val="0"/>
              </w:rPr>
              <w:t xml:space="preserve">euro</w:t>
            </w:r>
            <w:r w:rsidR="00000000" w:rsidRPr="00000000" w:rsidDel="00000000">
              <w:rPr>
                <w:rtl w:val="0"/>
              </w:rPr>
              <w:t xml:space="preserve"> apmērā, vienlaikus tiek precizēts katram objektam pieejamā finansējuma apjoms atbilstoši protokollēmumā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28.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noteikumu projekta 12. punktā svītroto atsauci uz  Ministru kabineta 2020. gada 10. marta noteikumu Nr. 130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(turpmāk - MK noteikumu Nr.130) 22.punktu, ņemot vērā, ka minētais punkts nedrīkst būt svītrots.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 izsakot MK noteikumu Nr.130 22.punktu jaunā redakcijā; noteikumu projekts papildināts ar jaunu 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35.6.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izmaiņas apakšpunkta redakcijā paredz, ka VSIA "Rīgas cirks" 35.6.apakšpunktā uzskaitītās izmaksas nebūs attiecināmas, kas ir pretrunā Informatīvajā ziņojumā „Par visiem aktuālajiem kultūras nozares infrastruktūras projektiem”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ar kultūras mantojumu saistītās iekštelpu un ārtelpu ekspozīcijas izmaksas, aprīkojuma iegādes un uzstādīšanas izmaksas, šo noteikumu 14.1., 14.2., 14.3. un 14.4. apakšpunktā noteiktajiem objektiem, nepārsniedzot 25 procentus no projekta kopējām attiecināmajām izmaksām, šo noteikumu 14.5. apakšpunktā noteiktajam objektam, nepārsniedzot 100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Nr. 130 paredz, ka to ietvaros tiks īstenoti gan projekti, kuriem tiek sniegts komercdarbības atbalsts saskaņā ar Komisijas regulas Nr.  651/2014 53. pantu, gan projekti, kuru ietvaros komercdarbības atbalsta sniegšana nav paredzēta, lūdzam skaidrot anotācijā pie kuras no šīm kategorijām pieder anotācijas 1.3.sadaļā ietvertajā tabulā uzskaitītie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Rīgas pils Konventa (Kastelas) pārbūves un restaurācijas projektam nav uzskatāms par komercdarbības atbalstu, kā arī nav jāpiemēro Komisijas regulas Nr. 651/2014 53. panta nosacījumi, jo attiecīgajos objektos ieņēmumi no saimnieciskās darbības ir mazāki par 50% no visiem objekta izdevumiem. Līdz ar to komercdarbības atbalsta regulējums nav jāpiemēro.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apakšadaļā "Risinājuma apraksts" iekļauto informāciju par VSIA "Rīgas cirks" projekta pabeigšanai nepieciešamo finansējumu, norādot to pa finansējuma avotiem, tādejādi nodrošinot skaidru un nepārprotamu informācijas izsekojamību. Vēršam uzmanību, ka ar noteikumu projekta grozījumiem minētajam projektam tiek piešķirts finansējums 1 463 281 euro (gan ES fondu finansējums, gan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kādā periodā tiks nodrošināti nepieciešamie līguma grozījumi Lielās Ģildes pārbūves projektā, lai atbrīvotu nepieciešamo finansējumu citu projektu pārdalēm un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spēkā stāšanās būs nepieciešami grozījumi līgumā par Lielās ģildes pārbūves projekta īstenošanu. Atbilstoši protokollēmuma 6.punktā noteiktajam, 5.5.1.SAM ceturtās atlases kārtas ietvaros īstenotā Lielās ģildes pārbūves projektā tiks nodrošināti nepieciešamie līguma grozījumi līdz 2022.gada 30.novembrim.".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izmaiņām intervences kodos, ņemot vērā  noteikumu projektā ierosintās finansējuma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sadarbības partnerim un specifiskā atbalsta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Nr. 130 21.punktā norādīto, ka projekti tiks īstenoti līdz 2023.gada beigām, lūdzam papildināt MK noteikumu projektu ar jaunu punktu, norādot, ka iepirkumi projektu īstenošanas vajadzībām jāveic saskaņā ar normatīvajiem aktiem publisko iepirkumu jomā, īstenojot atklātu, pārredzamu, nediskriminējošu un konkurenci neierobežojošu procedūru. 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sadarbības partnerim un specifiskā atbalsta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izmaksu un ieguvumu analīzes veikšana ir priekšnosacījums, lai konstatētu finansējuma apmēru, kas sniegts kā komercdarbības atbalsts, piemērojot Komisijas regulas Nr.  651/2014 53. pantu (skat. Komisijas regulas Nr.  651/2014 53. panta 6.punktu), attiecīgi lūdzam saglabāt MK noteikumu 22.punkta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 izsakot MK noteikumu Nr.130 22.punktu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projekta iesniedzējs pretendē uz komercdarbības atbalstu saskaņā ar Komisijas regulas Nr. 651/2014 53. pantu, 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valsts atbalstu komercdarbībai sniedz saskaņā ar Komisijas regulas Nr. 651/2014 53. pantu un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sadarbības iestādei atmaksā starpību starp faktisko un plānoto peļņu no pamatdarbības.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izmaksu un ieguvumu analīzes veikšana ir priekšnosacījums, lai konstatētu finansējuma apmēru, kas sniegts kā komercdarbības atbalsts, piemērojot Komisijas regulas Nr.  651/2014 53. pantu (skat. Komisijas regulas Nr.  651/2014 53. panta 6.punktu), attiecīgi lūdzam saglabāt MK noteikumu Nr. 130 23.punktā atsauci uz MK noteikumu Nr. 130 22.punktu.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8.</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punkta redakciju, lai būtu viennozīmīgi saprotams, ka projekta „Lielās Ģildes pārbūve un atjaunošana Amatu ielā 6, Rīgā” (projekta Nr.5.5.1.0/20/I/005) ietvaros netiks sasniegti noteikumu 8.1. apakšpunktā noteiktie iznākuma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14.3. apakšpunktā noteiktā objekta “Lielās ģildes Amatu ielā 6” atjaunošanu paredzēts īstenot sadalot posmos, specifiskā atbalsta ietvaros tiek nodrošināts objekta “Lielās ģildes Amatu ielā 6” atjaunošanas pirmais posms, kuru īstenojot ir sasniedzams specifiskā atbalsta uzraudzības rādītājs – izstrādāts un būvvaldē saskaņots objekta “Lielās ģildes Amatu ielā 6” atjaunošanas darbu būvprojekts, pirmā posma ietvaros neparedzot noteikumu 8.1. apakšpunktā noteikto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22.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projekta iesniegumu netiks iesniegta projekta izmaksu un ieguvumu analīze, tad arī nevarēs pārliecināties par projekta sociālekonomisko pamatotību. Priekšlikums atstāt to, ka izmaksu un ieguvumu analīze ir jāveic arī šiem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izmaksu un ieguvumu analīzes izstrāde 2014.-2021.gada Eiropas Savienības fondu plānošanas periodā nav noteikta kā obligāts priekšnosacījums projekta iesniegumu īstenošanā. Papildus skaidrojam, ka ar Projektu Noteikumi Nr.130 tiek papildināti ar objektiem, kuri noteikti kā nozīmīgi kultūras mantojuma objekti ar sociālekonomiskās attīstības potenciālu, atbilstoši Ministru kabineta 2022.gada 4.oktobra sēdes protokollēmumā (prot. Nr.51. 33.§) "Informatīvais ziņojums "Par visiem aktuālajiem kultūras nozares infrastruktūras projektiem""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būtību 36.punktā, lūdzam anotāciju papildināt ar papildu informāciju, kāpēc ir noteikts šāds izņēmums no Finanšu ministrijas vadlīniju Nr.2.1. “”Vadlīnijas attiecināmo un neattiecināmo izmaksu noteikšanai 2014.-2020.gada plānošanas periodā”18.3.apakšpunktā noteiktā, piemēram, citastarp, skaidrojot, ka šāds izņēmums ir saskaņā ar MK pielemto.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vadlīniju Nr.2.1. ”Vadlīnijas attiecināmo un neattiecināmo izmaksu noteikšanai 2014.-2020.gada plānošanas periodā” 18.3.apakšpunkts nosaka, ka projekta iesnieguma pamatojošās dokumentācijas sagatavošanas izmaksas, būvuzraudzības, autoruzraudzības, energosertifikācijas un energoaudita izmaksas kopā ir attiecināmas līdz 10% no projekta kopējām attiecināmajām izmaksām, ja tas ir noteikts MK noteikumos par SAM īstenošanu. Attiecīgi ar Projektu Noteikumos Nr.130 atbilstoši informatīvā ziņojumā un tā protokollēmumā piedāvātajam risinājumam noteikts, ka Lielās ģildes pārbūves projektā nav jāpiemēro ierobežojums projektu pamatojošās dokumentācijas sagatavošanas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"Tiesību akta projekta izstrādes nepieciešamība" 1.1.apakšsadaļas apakšnodaļu "Apraksts" ar vārdiem "Ministru kabineta 2020. gada 10.marta noteikumos Nr.130" pēc vārda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1.sadaļas "Tiesību akta projekta izstrādes nepieciešamība" 1.3.apakšsadaļas apakšnodaļas "Risinājuma apraksts" 1.rindkopā vārdus "Eiropas Savienības fondu" ar vārdiem "Eiropas Savienības struktūrfondu un Kohēzijas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 nodrošināts dubultfinansējuma neiestāšanās riks, ņemot vērā anotācijas 1.sadaļas 1.3.apakšsadaļas apakšnodaļas "Risinājuma apraksts" 1.rindkopā minēto vairāku finansējumu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izstrādāta Lielās ģildes pārbūves projekta būvniecības dokumentācija un projekta īstenotājs būvniecības darbus, kas bija plānoti 5.5.1.SAM ceturtās atlases kārtas ietvaros, īstenos 5.1.1.5.pasākuma ietvaros, savukārt pārējos darbus, kas saistīti ar energoefektivitātes uzlabošanu,  1.2.1.4.i.investīcijas ietvaros, Kultūras ministrija, piedaloties projektu iesniegumu vērtēšanas komisijās vai sniedzot atzinumu par 5.1.1.5.pasākuma vai 1.2.1.4.i.investīcijas projekta ietvaros plānotajām darbībām, nodrošinās dubultā finansējuma riska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ietvaros ir atbalstāma vides prasību integrācija preču, pakalpojumu un būvdarbu iepirkumos (zaļais publiskais iepirkums), lai nodrošinātu atbilstību horizontālā principa "Ilgtspējīga attīstība" projektu iesniegumu vērtēšanas kritērijam. Finansējuma saņēmējs piesaista preču piegādātājus un pakalpojuma sniedzējus atbilstoši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(MK) noteikumu projetka 12.punkta pēdējo teikumu, to formulējot plašāk un aptverot visus potenciālos subjektus, uz kuriem šo noteikumu kontekstā varētu būt attiecināms publisko iepirkumu tiesiskais regulējums. Vēršam uzmanību, ka pašreizējā redakcijā ir atsuce tikai uz preču piegādātājiem un pakalpojumu sniedzējem.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teikumu formulēt līdzīgi kā MK noteikumu projekta anotācijā, attiecīgi nosakot, ka iepirkumus projektu īstenošanas vajadzībām veic saskaņā ar normatīvajiem aktiem publisko iepirkumu jomā, īstenojot atklātu, pārredzamu, nediskriminējošu un konkurenci neierobežojošu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ietvaros ir atbalstāma vides prasību integrācija preču, pakalpojumu un būvdarbu iepirkumos (zaļais publiskais iepirkums), lai nodrošinātu atbilstību horizontālā principa "Ilgtspējīga attīstība" projektu iesniegumu vērtēšanas kritērijam. Finansējuma saņēmējs un sadarbības partneris projekta ietvaros iepirkumus veic atbilstoši normatīvajiem aktiem publisko iepirkumu jomā, īstenojot atklātu, pārredzamu, nediskriminējošu un konkurenci nodrošinošu procedūru.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22-TA-2935</w:t>
    </w:r>
    <w:r>
      <w:br/>
    </w:r>
    <w:r w:rsidR="00000000" w:rsidRPr="00000000" w:rsidDel="00000000">
      <w:rPr>
        <w:rtl w:val="0"/>
      </w:rPr>
      <w:t xml:space="preserve">19.10.2022. 17.45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22-TA-2935</w:t>
    </w:r>
    <w:r>
      <w:br/>
    </w:r>
    <w:r w:rsidR="00000000" w:rsidRPr="00000000" w:rsidDel="00000000">
      <w:rPr>
        <w:rtl w:val="0"/>
      </w:rPr>
      <w:t xml:space="preserve">19.10.2022. 17.45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Izziņa_22-TA-2935.docx</dc:title>
</cp:coreProperties>
</file>

<file path=docProps/custom.xml><?xml version="1.0" encoding="utf-8"?>
<Properties xmlns="http://schemas.openxmlformats.org/officeDocument/2006/custom-properties" xmlns:vt="http://schemas.openxmlformats.org/officeDocument/2006/docPropsVTypes"/>
</file>