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17:01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finansējums 1 374 427 EUR apmērā vēl ir piesaistīts Atveseļošanas un noturības mehānisma (turpmāk – AF) 1.1.1.2.i.1.pasākuma projektam, lūdzam papildināt anotāciju ar informāciju, kad plānots konkrēto finansējumu "</w:t>
            </w:r>
            <w:r w:rsidR="00000000" w:rsidRPr="00000000" w:rsidDel="00000000">
              <w:rPr>
                <w:i w:val="1"/>
                <w:rtl w:val="0"/>
              </w:rPr>
              <w:t xml:space="preserve">atbrīvot</w:t>
            </w:r>
            <w:r w:rsidR="00000000" w:rsidRPr="00000000" w:rsidDel="00000000">
              <w:rPr>
                <w:rtl w:val="0"/>
              </w:rPr>
              <w:t xml:space="preserve">", veicot attiecīgus grozījumus noslēgtajā projekta līgumā Nr. 1.1.1.2.i.1/1/23/I/CFLA/001 "Emisiju samazināšana Rīgas valstspilsētā - elektroautobusu iegāde un elektrouzlādes tīkla attīstība", lai varētu finansējumu pārdalīt cita pasākuma īstenošanai, tai skaitā, konkrēto informāciju korekti ievadīt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ar tekstu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1.1.1.2.i.1.pasākumā tiks virzīti saskaņošanai 2026. gada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noteikumu projekta anotācijas 4.1.1. apakšsadaļa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šobrīd ir uzsākusi darbu Tiesību aktu portālā pie attiecīgo grozījumu veikšanas 2023. gada 9. maija Ministru kabineta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lai precizētu kopējo pieejamo Atveseļošanas fonda finansējumu (finansējuma ietaupījuma pārvirzīšana uz 1.1.1.2.i.2. pasākumu 1 374 427 euro apmērā), kā arī veikt citus tehniskus precizējumus ar mērķi mazināt administratīvo un birokrātisko slogu. Tuvākajā laikā MK noteikumu projekts tiks virzīts starpinstitūciju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noteikumu projekta grozījumos ietvertā aktivitāte – apakšstacijas izbūve - ir tāda, kas nepieciešama un saistīta tikai ar līguma par sabiedriskā pakalpojuma sniegšanu, kas noslēgts starp pašvaldību un sabiedrību ar ierobežotu atbildību “Rīgas satiksme”, izpildi, piemērojot Eiropas Parlamenta un Padomes 2007. gada 23. oktobra Regulas Nr. 1370/2007 par sabiedriskā pasažieru transporta pakalpojumiem, izmantojot dzelzceļu un autoceļus, un ar ko atceļ Padomes Regulu (EEK) Nr. 1191/69 un Padomes Regulu (EEK) Nr. 1107/70 nosacījumus, un tādējādi attiecībā uz to būtu piemērojams minētais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grozījumos ietvertā aktivitāte – apakšstacijas izbūve - ir tāda, kas nepieciešama un saistīta tikai ar līguma par sabiedriskā pakalpojuma sniegšanu, kas noslēgts starp pašvaldību un sabiedrību ar ierobežotu atbildību “Rīgas satiksme”, izpildi, piemērojot Eiropas Parlamenta un Padomes 2007. gada 23. oktobra Regulas Nr. 1370/2007 par sabiedriskā pasažieru transporta pakalpojumiem, izmantojot dzelzceļu un autoceļus, un ar ko atceļ Padomes Regulu (EEK) Nr. 1191/69 un Padomes Regulu (EEK) Nr. 1107/70 nosacījumus, un tādējādi attiecībā uz to būtu piemērojams minētais komercdarbības atbalsta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gadus, kā kārtējo gadu norādot 2026. gadu, ievērojot, ka noteikumu projekts tiks virzīts izskatīšanai Ministru kabinetā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saistībā ar to, ka pasākums jau ir īstenošanā, tad ailē “saskaņā ar valsts budžetu kārtējam gadam” 2026. gadam 1.1. un 2.1. apakšpunktā norādīt budžetā plānoto AF finansējumu pasākuma īstenošanai un 2.3.apakšpunktā norādīt saistošo pievienotās vērtības nodokļa (turpmāk – PVN) izmaksu apmēru, kas sedzams no pašvaldību budžeta, savukārt ailē “izmaiņas kārtējā gadā, salīdzinot ar valsts budžetu kārtējam gadam” 1.1. un 2.1. apakšpunktā norādīt AF finansējumu, kas tiek palielināts pasākuma īstenošanai saistībā ar pārdali no 1.1.1.2.i.1. pasākuma “Emisiju samazināšana Rīgas valstspilsētā – elektroautobusu iegāde un elektrouzlādes tīkla attīstība” un 2.3. apakšpunktā norādīt saistošo PVN izmaksu apmēru, kas sedzams no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 punktā norādīt pasākuma kopējā AF finansējuma sadalījumu pa gadiem, tai skaitā norādot līdzšinējo izpildi, kā arī PVN izmaksas sadalījumā pa gadiem, kas sedzamas no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pārskatīt, vai norādīts korekts PVN izmaksu apmērs, kas sedzams no pašvaldību budžeta, ievērojot, ka 21 % no kopējā AF finansējuma ir 12 756 333 euro, kas ir mazāks apmērs nekā šobrīd anotācijas 3.sadaļā norādītā ietekme uz pašvaldību budžetu, kā arī situācijā, ja projekta īstenotājs nav pašvaldība, bet ir pašvaldības kapitālsabiedrība, tad PVN izmaksas sedzamas no kapitālsabiedrības līdzekļiem nevis pašvaldība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norādīt, kuras iestādes budžetā jau ir plānots finansējums pasākuma īstenošanai, kā arī precizēt, ka AF finansējums apmērā, kas saskaņā ar noteikumu projektu tiek palielināts šī pasākuma īstenošanai, pasākuma īstenošanai tiks nodrošināts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19.11.2025. 16:43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ņemot vērā ar noteikumu projektu plānotos grozījumus, tiks veikti grozījumi vienošanās un līgumos par investīciju projektu īstenošanu. Izrietoši, ņemot vērā, ka tiks veikti vienošanās un līgumu grozījumi, lūdzam arī aizpildīt anotācijas 2.1. sadaļas apakšsadaļu "Juridiskās personas" (ietverot norādi uz Rīgas pašvaldības sabiedrību ar ierobežotu atbildību "Rīgas satiksme") un atbilstošo apakšsadaļu "Ietekmes apraksts" (skaidrojot, ka tiks veikti grozījumi līgumā par investīciju projekta īstenošanu), kā arī anotācijas 7.1. sadaļu (ietverot norādi uz Centrālo finanšu un līgumu aģentūru, Rīgas valstspilsētas pašvaldību, Ādažu novada pašvaldību un Saulkrastu novada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izslēgšanas kritērijiem un lēmumiem par izslēgšanu attiecībā uz finansējuma saņēmēju atbilstoši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(turpmāk – regula Nr. 2018/1046), 136.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Ministru kabineta 2024. gada 16. janvāra noteikumu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 (turpmāk – noteikumi Nr. 51) 16.1. apakšpunktā un 19. punktā regulas atsauci, norādot atsauci uz Regulu 2024/2509. Saskaņā ar Regulas 2024/2509 279. pantu atsauces uz atcelto Regulu 2018/1046 uzskata par atsaucēm uz Regulu 2024/2509, un tās lasa saskaņā ar atbilstības tabulu Regulas 2024/2509 II pielikumā. Vienlaikus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izslēgšanas kritērijiem un lēmumiem par izslēgšanu attiecībā uz finansējuma saņēmēju atbilstoši Eiropas Parlamenta un Padomes 2024. gada 23. septembra Regulas (ES, Euratom) 2024/2509 par finanšu noteikumiem, ko piemēro Savienības vispārējam budžetam (pārstrādāta redakcija) (turpmāk – regula Nr. 2024/2509), 138.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16.1. apakšpunkts un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izslēgšanas kritērijiem un lēmumiem par izslēgšanu attiecībā uz finansējuma saņēmēju atbilstoši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(turpmāk – regula Nr. 2024/2509) 138.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nosacījumi par informācijas publicēšanu par sniegto komercdarbības atbalstu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w:t>
            </w:r>
            <w:r w:rsidR="00000000" w:rsidRPr="00000000" w:rsidDel="00000000">
              <w:rPr>
                <w:rtl w:val="0"/>
              </w:rPr>
              <w:t xml:space="preserve">Ministru kabineta 2016. gada 21. jūnija noteikumu Nr. 386 "Kārtība, kādā publicē informāciju par sniegto komercdarbības atbalstu un piešķir un anulē elektroniskās sistēmas lietošanas tiesības"</w:t>
            </w:r>
            <w:r w:rsidR="00000000" w:rsidRPr="00000000" w:rsidDel="00000000">
              <w:rPr>
                <w:rtl w:val="0"/>
              </w:rPr>
              <w:t xml:space="preserve"> </w:t>
            </w:r>
            <w:r w:rsidR="00000000" w:rsidRPr="00000000" w:rsidDel="00000000">
              <w:rPr>
                <w:rtl w:val="0"/>
              </w:rPr>
              <w:t xml:space="preserve"> nosacījumus. Informācijas publicēšanu nodrošina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25. jūlijā ir stājušies spēkā Ministru kabineta 2025. gada 22. jūlija noteikumi Nr. 452 "Grozījumi Ministru kabineta 2016. gada 21. jūnija noteikumos Nr. 386 "Kārtība, kādā publicē informāciju par sniegto komercdarbības atbalstu un piešķir un anulē elektroniskās sistēmas lietošanas tiesības"", ar kuriem tika grozīts Ministru kabineta 2016. gada 21. jūnija noteikumu Nr. 386 nosaukums uz "Kārtība, kādā publicē informāciju par sniegto komercdarbības atbalstu", lūdzam noteikumu Nr.51 44.6 apakšpunktā dzēst vārdus: "un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Nomainīta saite uz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nosacījumi par informācijas publicēšanu par sniegto komercdarbības atbalstu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Ministru kabineta 2016. gada 21. jūnija noteikumu Nr. 386 "Kārtība, kādā publicē informāciju par sniegto komercdarbības atbalstu"</w:t>
            </w:r>
            <w:r w:rsidR="00000000" w:rsidRPr="00000000" w:rsidDel="00000000">
              <w:rPr>
                <w:rtl w:val="0"/>
              </w:rPr>
              <w:t xml:space="preserve"> </w:t>
            </w:r>
            <w:r w:rsidR="00000000" w:rsidRPr="00000000" w:rsidDel="00000000">
              <w:rPr>
                <w:rtl w:val="0"/>
              </w:rPr>
              <w:t xml:space="preserve"> nosacījumus. Informācijas publicēšanu nodrošina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neatkarīga revidenta vai iekšējā auditora atzinumu, kas apliecina izmaksu pamatotību un mērķa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Centrālajai finanšu un līgumu aģentūrai ir pienākums pārliecināties par izdevumu attiecināmību un mērķa sasniegšanu, kā arī, lai mazinātu finansējuma saņēmēja administratīvo slogu, ierosinām izvērtēt iespēju svītrot noteikumu Nr.51 61.1.apakšpunktu par neatkarīga revidenta vai auditora atzinuma iesniegšanu.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24.4. un 37.4. apakšpunkts, ņemot vērā 61.1.apakšpunkta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25-TA-2715</w:t>
    </w:r>
    <w:r>
      <w:br/>
    </w:r>
    <w:r w:rsidR="00000000" w:rsidRPr="00000000" w:rsidDel="00000000">
      <w:rPr>
        <w:rtl w:val="0"/>
      </w:rPr>
      <w:t xml:space="preserve">09.02.2026. 10.53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25-TA-2715</w:t>
    </w:r>
    <w:r>
      <w:br/>
    </w:r>
    <w:r w:rsidR="00000000" w:rsidRPr="00000000" w:rsidDel="00000000">
      <w:rPr>
        <w:rtl w:val="0"/>
      </w:rPr>
      <w:t xml:space="preserve">09.02.2026. 10.53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Izziņa_25-TA-2715.docx</dc:title>
</cp:coreProperties>
</file>

<file path=docProps/custom.xml><?xml version="1.0" encoding="utf-8"?>
<Properties xmlns="http://schemas.openxmlformats.org/officeDocument/2006/custom-properties" xmlns:vt="http://schemas.openxmlformats.org/officeDocument/2006/docPropsVTypes"/>
</file>