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23-TA-1698: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2008. gada 29. septembra noteikumos Nr. 803 "Darba aizsardzības prasības, saskaroties ar kancerogēnām vielām darba vietās"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(21.02.2023.)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5. punktu, nodrošināt precīzu informāciju par Eiropas Savienības tiesību aktu normu pārņemšanu un/vai ieviešanu.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noteikumu projekta </w:t>
            </w:r>
            <w:r w:rsidR="00000000" w:rsidRPr="00000000" w:rsidDel="00000000">
              <w:rPr>
                <w:rtl w:val="0"/>
              </w:rPr>
              <w:t xml:space="preserve">1.2. apakšpunkta redakcijai ar konkrēto punktu ieviests Eiropas Parlamenta un Padomes 2008. gada 16. decembra Regulas (EK) Nr. 1272/2008 par vielu un maisījumu klasificēšanu, marķēšanu un iepakošanu un ar ko groza un atceļ Direktīvas 67/548/EEK un 1999/45/EK un groza Regulu (EK) Nr. 1907/2006 I pielikums. Attiecīgi lūdzam ieviešanu atspoguļot arī anotācijas 5.1. apakšsadaļā un 5.4. apakšsadaļas 1.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Eiropas Parlamenta un Padomes 2022. gada 9. marta Direktīvas 2022/431, ar ko groza Direktīvu 2004/37/EK par darba ņēmēju aizsardzību pret risku, kas saistīts ar kancerogēnu vai mutagēnu iedarbību darbā (turpmāk - Direktīva 2022/431) 1. panta 1. punktu, noteikumu Nr. 803 informatīvajā atsaucē uz Eiropas Savienības direktīvām Nr.1 minētās direktīvas nosaukums tiek aizstāts ar "Eiropas Parlamenta un Padomes 2004. gada 29. aprīļa Direktīva 2004/37/EK par darba ņēmēju aizsardzību pret risku, kas saistīts ar kancerogēnu, mutagēnu vai reproduktīvajai sistēmai toksisku vielu iedarbību darbā (Sestā atsevišķā direktīva Padomes Direktīvas 89/391/EEK 16. panta 1. punkta nozīmē)". Iesakām vienlaicīgi ar plānotajiem grozījumiem noteikumos Nr.803 aktualizēt informatīvo atsauci uz Eiropas Savienības direktīvām Nr.1, tādējādi nodrošinot direktīvas 2022/431 1. panta 1. punkta korektu pārņemšanu. Vēršam uzmanību, ka anotācijas 5.4. apakšsadaļas 1. tabulā norādīts, ka konkrētā tiesību norma pārņemta noteikumu projekta 1.2. apakšpunktā, kas nav saistīts ar direktīvas nosaukumu.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1.2. apakšpunkts šķietami attiecināts arī uz tādu Direktīvas 2022/431 tiesību normu pārņemšanu, kas nav ar to saistītas. Piemēram, bet ne tikai, Direktīvas 1. panta 4. punkta c apakšpunkts, 1. panta 5.punkts, jo noteikumu projekta 1.2. apakšpunktā tiek definētas reproduktīvajai sistēmai toksiskas vielas, bet, iepriekš minētajās direktīvas 2022/431 vienībās noteikti pienākumi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direktīvas 2022/431 1.panta 6.punkts a) apakšpunkts šķietami ir saistīts arī, piemēram, ar noteikumu Nr.803 11.2 apakšpunktu un noteikumu projekta 1.5.apakšpunktu. Savukārt, piemēram, direktīvas 2022/431 1.panta 10.punkts b)apakšpunkts ņemot vērā, ka tas paredz tiesības ārstiem vai iestādēm ierosināt darba ņēmējiem, kuriem veic veselības uzraudzību, ierosināt preventīvos pasākumus, šķietami pārņemts arī ar noteikumu projekta 1.10. apakšpunktu, tāpat no konkrētā direktīvas panta izriet arī, piemēram, slimības vēstures iekārtošana, kas paredzēts noteikumu Nr.803 52.2.1.apakšpunktā. Attiecīgi lūdzam nodrošināt, pilnīgu un precīzu no Eiropas Savienības tiesību aktiem izrietošo saistību 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direktīvas 2022/431 1. panta 8. punkta a) apakšpunktā grozītais "direktīvas 10.panta 1.punkts" paredz "Higiēna un individuālā aizsardzība", kas šķietami pārņemts ar noteikumu Nr.803 37. punktu. Attiecīgi iesakām pārskatīt un izvērtēt direktīvas 2022/431 tiesību normu, tajā skaitā, piemēram, iepriekš minētā, 1. panta 8. punkta a) apakšpunkta vai 1.panta 9.punkts b)apakšpunkta pārņemšanu un korektu atspoguļošanu anotācijas 5.4. apakšsadaļas 1.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direktīvā 2022/431 nav III pielikuma. Attiecīgi anotācijas 5.4. apakšsadaļas 1. tabulas atsauces uz direktīvas 2022/431 III pielikumu ir precizējamas, piemēram, ailē "III pielikums Benzols" teksts aizstājams ar "Pielikuma 1) punkts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 kolonnas ailē "1.pielikuma 711.punkts" šķietami domāts 1. pielikuma 710.punkts.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nav skaidrota direktīvas 2022/431 2. panta 1. punkta un pielikuma 2. punkta pārņemšana. Vēršam uzmanību, ka direktīvas 2022/431 2. panta 1. punkta 1. daļa pārņemta ar noteikumu projekta 2. punktu, bet 2022/431 2. panta 1. punkta 2. daļa ar noteikumu projekta 1.19. apakšpunktu. Tāpat, atbilstoši anotācijas 1.3. apakšsadaļā sniegtajiem skaidrojumiem, noteikumi Nr.803 tiek papildināti ar 3. pielikumu, kur pārņemta Direktīva 2022/431. Attiecīgi lūdzam pārliecināties par pilnīgu direktīvas 2022/431 tiesību normu pārņemšanu un atspoguļot to anotācijas 5.4. apakšsadaļas 1.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projekta 1.13. apakšpunktā šķietami pārņemts Eiropas Parlamenta un Padomes 2017. gada 12. decembra Direktīvas (ES) 2017/2398, ar ko groza Direktīvu 2004/37/EK par darba ņēmēju aizsardzību pret risku, kas saistīts ar kancerogēnu vai mutagēnu iedarbību darbā (Dokuments attiecas uz EEZ) pielikumā noteiktais pārejas pasākums Hroma (VI) savienojumiem, kas ir kancerogēni, bet noteikumu projekta 1.16. apakšpunktā Eiropas Parlamenta un Padomes 2019. gada 5. jūnija Direktīva (ES) 2019/983, ar ko groza Direktīvu 2004/37/EK par darba ņēmēju aizsardzību pret risku, kas saistīts ar kancerogēnu vai mutagēnu iedarbību darbā (Dokuments attiecas uz EEZ) pielikumā noteiktais pārejas pasākums.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Papildināts noteikumu projekta anotācijas 5.1. un 5.4.punkts;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Aktualizēta noteikumu Nr.803 Informatīvā atsauce un 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Precizēta noteikumu projekta anotācijas 5.4.apakšadaļas 1.tabula attiecībā uz punktu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Precizēta noteikumu projekta anotācijas 5.4.apakšadaļas 1.tabula attiecībā uz punktu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Precizēta noteikumu projekta anotācijas 5.4.apakšadaļas 1.tabula attiecībā uz punktu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Precizēta noteikumu projekta anotācijas 5.4.apakšadaļas 1.tabula attiecībā uz aiļu aizpildīšanu;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Precizēta noteikumu projekta anotācijas 5.4.apakšadaļas 1.tabula attiecībā uz 1.pielikumu;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Precizēta noteikumu projekta anotācijas 5.4.apakšadaļas 1.tabula attiecībā uz punktu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Precizēts noteikumu projekta anotācijas 5.punkts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darba aizsardzības prasības, kas jāievēro, saskaroties ar kancerogēnām vielām darba vietās, lai aizsargātu nodarbinātos pret risku, kas rodas viņu drošībai un veselībai, ja nodarbinātie ir vai var būt pakļauti kancerogēnu vielu iedarbībai.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(turpmāk - noteikumi Nr. 108) 100. punktam, kas noteic, ka noteikumu projekta pirmajā punktā raksta (pārraksta) likumā noteikto pilnvarojumu Ministru kabinetam, lūdzam izvērtēt un, ja nepieciešams, precizēt noteikumu Nr.803. punktu. Vēršam uzmanību, ka no noteikumu projekta izdošanas tiesiskā pamata izriet ne tikai līdzšinējais pilnvarojums Ministru kabinetam noteikt darba aizsardzības prasības saskaroties ar kancerogēnām vielām (Darba aizsardzības likuma 25. panta 16. punkts), bet arī attiecībā uz citām prasībām, ko regulē Eiropas Savienības direktīvas darba aizsardzībā (Darba aizsardzības likuma 25. panta 18. punkts). Savukārt noteikumu Nr.803 1. punktā pilnvarojums Ministru kabinetam noteikt darba aizsardzības prasības arī attiecībā uz citām prasībām, ko regulē Eiropas Savienības direktīvas darba aizsardzībā (Darba aizsardzības likuma 25. panta 18. punkts) nav konkrēti definēts.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un dzēsta atsauce uz Darba aizsardzības likuma 25.panta 16.punktu. Vienlaikus precizēta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darba aizsardzības prasības, kas jāievēro, saskaroties ar kancerogēnām vielām darba vietās, lai aizsargātu nodarbinātos pret risku, kas rodas viņu drošībai un veselībai, ja nodarbinātie ir vai var būt pakļauti kancerogēnu vielu iedarbībai.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Darba devējs šo noteikumu 20. punktā minēto sarakstu un šo noteikumu 53. punktā minētos veselības pārbaužu datus glabā 40 gadus pēc nodarbinātā saskares ar šo noteikumu 2.1., 2.2. vai 2.3. apakšpunktā minētajām vielām un maisījumiem vai vismaz 5 gadus pēc tā saskares ar šo noteikumu 2.4. apakšpunktā minētām vielām un maisījumiem. Pēc termiņa beigām darba devējs dokumentus nodod arhīvā likumā “Par arhīviem” noteiktajā kārtībā. Ja uzņēmumu likvidē, darbā ar kancerogēniem nodarbināto sarakstu un veselības pārbaužu datus glabā atbilstoši normatīvajos aktos par arhīva dokumentu glabāšanu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norādīt cik ilgi darba devējam ir pienākums glabāt nodarbinātā veselības datus pēc tā saskares ar noteikumu projekta 2.4. apakšpunktā minētām vielām un maisījumiem. No noteikumu projekta normas izriet, ka darba devējam ir pienākums glabāt nodarbinātā veselības datus ne mazāk kā piecus gadus pēc tā saskares ar noteikumu 2.4. apakšpunktā minētām vielām un maisījumiem un šo datu glabāšanas ilguma maksimālais ierobežojums nav noteikts. Gadījumā, ja veselības datu glabāšanas termiņš tiks noteikts ilgāks par pieciem gadiem, lūdzam anotācijas 8.1.13. apakšpunktā pamatot izvēlēto datu glabāšanas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paredzot dokumentu glabāšanas laiku pie darba devēja noteikt 5 gadus. Vienlaikus precizēta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Darba devējs šo noteikumu 20. punktā minēto sarakstu un šo noteikumu 53. punktā minētos veselības pārbaužu datus glabā 40 gadus pēc nodarbinātā saskares ar šo noteikumu 2.1., 2.2. vai 2.3. apakšpunktā minētajām vielām un maisījumiem vai 5 gadus pēc tā saskares ar šo noteikumu 2.4. apakšpunktā minētām vielām un maisījumiem. Pēc termiņa beigām darba devējs dokumentus nodod arhīvā likumā “Par arhīviem” noteiktajā kārtībā. Ja uzņēmumu likvidē, darbā ar kancerogēniem nodarbināto sarakstu un veselības pārbaužu datus glabā atbilstoši normatīvajos aktos par arhīva dokumentu glabāšanu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Darba devējs šo noteikumu 20. punktā minēto sarakstu un šo noteikumu 53. punktā minētos veselības pārbaužu datus glabā 40 gadus pēc nodarbinātā saskares ar šo noteikumu 2.1., 2.2. vai 2.3. apakšpunktā minētajām vielām un maisījumiem vai vismaz 5 gadus pēc tā saskares ar šo noteikumu 2.4. apakšpunktā minētām vielām un maisījumiem. Pēc termiņa beigām darba devējs dokumentus nodod arhīvā likumā “Par arhīviem” noteiktajā kārtībā. Ja uzņēmumu likvidē, darbā ar kancerogēniem nodarbināto sarakstu un veselības pārbaužu datus glabā atbilstoši normatīvajos aktos par arhīva dokumentu glabāšanu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personas datu apstrādi, atbilstoši Ministru kabineta 2021. gada 7.septembra noteikumu Nr. 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apakšpunktam lūdzam projektu saskaņot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Saņemts šāds viedoklis par noteikumu projektu no Datu valsts inspekcijas: "Inspekcija ir iepazinusies ar noteikumu projektu un sniedz šādu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grozīt MK noteikumu Nr. 803 55. punktu, ar kuru tiks noteikts personas (t.sk. veselības) datu glabāšanas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atbilstoši Vispārīgās datu aizsardzības regulas 5. panta 1. punkta (e) apakšpunktā ietvertajam glabāšanas ierobežojuma principam, lūdzam noteikumu projekta anotācijā ietvert pamatojumu par to, ka noteiktais personas datu apstrādes glabāšanas termiņš ir minimāli nepieciešamais, lai sasniegtu likumdevēja noteikto personas datu apstrādes nolūku (nav pieļaujama pamattiesību ierobežošana ilgāk kā tas patiesi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noteikumu projekta anotāciju, skaidri norādot konkrētu apstrādājamo personas (t.sk. veselības) datu apjomu, kā arī kam būs piekļuve šiem personas datiem (ja dati tiks nodoti trešajām personām/citām institūcijām, tad kādā nolūkā un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precizēto noteikumu projektu un tā anotāciju Datu valsts inspekcijai nav iebildumu un priekšlikumu. Vienlaikus Datu valsts inspekcija ir iekļauta saskaņotājos.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Darba devējs šo noteikumu 20. punktā minēto sarakstu un šo noteikumu 53. punktā minētos veselības pārbaužu datus glabā 40 gadus pēc nodarbinātā saskares ar šo noteikumu 2.1., 2.2. vai 2.3. apakšpunktā minētajām vielām un maisījumiem vai 5 gadus pēc tā saskares ar šo noteikumu 2.4. apakšpunktā minētām vielām un maisījumiem. Pēc termiņa beigām darba devējs dokumentus nodod arhīvā likumā “Par arhīviem” noteiktajā kārtībā. Ja uzņēmumu likvidē, darbā ar kancerogēniem nodarbināto sarakstu un veselības pārbaužu datus glabā atbilstoši normatīvajos aktos par arhīva dokumentu glabāšanu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to kāds ir noteikumu projekta mērķis, ņemot vērā, ka anotācijas 1.2. apakšsadaļā kā mērķis norādīta direktīvas 2022/431 pārņemšana, bet, tajā pašā laikā, anotācijas 1.3. apakšsadaļā tiek skaidrots, ka noteikumu projekts izstrādāts, lai "precizētu noteikumus Nr. 803 un attiecinātu noteikumos minētās darba aizsardzības prasības arī uz darbu, saskaroties ar reproduktīvai sistēmai toksiskām vielām." Nepieciešamības gadījumā lūdzam veikt vajadzīgos precizējumus. Tāpat, pārskatot noteikumu projekta mērķi, iesakām ņemt vērā, ka mērķis jādefinē tādā formā, lai varētu novērtēt tā sasniegšanas progresu.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precizēts anotācijas 1.3.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noteikumu Nr. 108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Eiropas Parlamenta un Padomes 2004. gada 29. aprīļa Direktīva 2004/37/EK par darba ņēmēju aizsardzību pret risku, kas saistīts ar kancerogēnu, mutagēnu vai reproduktīvajai sistēmai toksisku vielu iedarbību darbā (Sestā atsevišķā direktīva Padomes Direktīvas 89/391/EEK 16. panta 1. punkta nozīmē) (turpmāk - Direktīva 2004/37).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attiecināms arī uz anotācijā lietotiem, nepieteiktiem Eiropas Savienības tiesību aktu saīsinājumiem, piemēram, "Direktīvas 2004/37/EK", "Direktīva 2022/431", "Regulas Nr. 1272/2008" un tādu vispārīgu saīsinājumu kā "direktīva", no kura lietošanas iesakām izvairīties, jo anotācijā tiek minētas vairākas direktīvas, bet vispārīga termina lietošana var apgrūtināt anotācijas izpratni.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atbilstoši precizēta, lai uzlabotu anotācijas izpratni par terminu lietošanu.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anotācijas 1.3. apakšsadaļas risinājuma apraksta sadaļu, ņemot vērā projektā veiktos labojumus un no tiem izrietošās izmaiņas noteikumu projekta vienību numerācijā. Vēršam uzmanību, ka, piemēram, trešajā risinājuma apraksta piektajā rindkopā šķietami nav aktualizētas atsauces uz 1.8. un 1.9. apakšpunktu. Savukārt, noteikumu projekta 1.5. un 1.7. apakšpunkts anotācijas 1.3. apakšsadaļā vispār netiek norādīts.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ievērot, ka atsauces uz Eiropas Savienības tiesību aktiem noformē atbilstoši Ministru kabineta 2009. gada 3. februāra noteikumu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Atsauces noformējamas, piemēram: Eiropas Parlamenta un Padomes 2008. gada 16. decembra Regula (EK) Nr. 1272/2008 par vielu un maisījumu klasificēšanu, marķēšanu un iepakošanu un ar ko groza un atceļ Direktīvas 67/548/EEK un 1999/45/EK un groza Regulu (EK) Nr. 1907/2006 (turpmāk – Regula 1272/2008).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sabiedrības grupas, kuras tiesiskais regulējums ietekmē, vai varētu ietekmēt, nolūkā nodrošināt pilnīgu ietekmējamo subjektu atspoguļojumu. Vēršam uzmanību, ka, ņemot vērā noteikumu projekta redakciju, tajā ietvertās tiesību normas šķietami var ietekmēt arī citus subjektus, piemēram, arodārstus.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mērķa grupu apraksts papildinot to ar ietekmi uz arodslimību ārstiem.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anotācijas 4.1. sadaļā konkrētāk skaidrot šajā sadaļā norādīto normatīvo aktu saistību ar noteikumu projektu (kā noteikumu projekts ietekmē anotācijas 4.1. sadaļā uzskaitītos normatīvos aktus) vai nepieciešamības gadījumā precizēt vai svītrot šajā sadaļā ietverto informāciju. Norādām, ka šobrīd minētajā sadaļā ietverta vispārīga norāde par to, ka abus normatīvos aktus saista tas, ka  abos noteikts ķīmisko vielu regulējums un abi tiek virzīti vienlaicīgi, kas neizskaidro noteikumu projekta ietekmi uz šiem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anotācijas 4. sadaļu aizpilda, ja noteikumu projekts ietekmē spēkā esošo tiesību normu sistēmu. Tajā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spēkā esošos (vai jau apstiprinātos) tiesību aktus, kuros jāizdara grozījumi vai kuri jāatzīst par spēku zaudējušiem (atceltiem) saistībā ar projektu, kā arī skaidro šādu izmaiņu nepieciešamību. Ja spēkā esošā tiesību akta atzīšana par spēku zaudējušu ir paredzēta izstrādātajā tiesību akta projektā, to norāda nevis šajā apakšpunktā, bet anotācijas 1. sadaļā. Ja nepieciešamie tiesību aktu projekti jau ir izsludināti Valsts sekretāru sanāksmē, norāda attiecīgās Valsts sekretāru sanāksmes datumu, protokola numuru un paragrāfu vai, ja nepieciešamie tiesību aktu projekti jau ir pieteikti TAP portālā, norāda projekta TA (ID)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sniedzot tikai informatīvu sasaisti ar saistītajiem grozījumiem Noteikumos Nr.325.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apakšsadaļas 1. tabulu,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2. punkts nepārņem visu Eiropas Parlamenta un Padomes 2022. gada 9. marta Direktīvas (ES) 2022/431, ar ko groza Direktīvu 2004/37/EK par darba ņēmēju aizsardzību pret risku, kas saistīts ar kancerogēnu vai mutagēnu iedarbību darbā (turpmāk - Direktīva) 2. pantu. Vēršam uzmanību, ka ar noteikumu projekta 2. punktu tiek pārņemta Direktīvas 2. panta 1. punkta 1. daļa, bet ar noteikumu projekta 1.19. apakšpunktu - Direktīvas 2. panta 1. punkta 2. daļa, savukārt 2. panta 2. punkts, tāpat kā 3. un 4. pants nav jāpārņem nacionālajos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pielikuma 2. punkts tiek pārņemts ne tikai ar noteikumu projekta 1.21. apakšpunktu, bet domājams arī ar noteikumu projekta 2.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gadījumā, ja noteikumu projekts paredz stingrākas prasības anotācijā papildus skaidro šādu prasību nepieciešamību un samērīgumu, kā arī norāda iespējamās alternatīvas un to, kādos gadījumos būtu iespējams izvairīties no stingrāku prasību noteikšanas, nekā paredzēts attiecīgajos Eiropas Savienības tiesību aktos. Ņemot vērā, ka no anotācijas 5.4. apakšsadaļas 1. tabulas skaidrojuma izriet, ka attiecīgās prasības ir ieviestas jau sen, iesakām papildināt konkrētos skaidrojumus anotācijas rindās "Pielikuma 1.punkts b)apakšpunkts (Akrilnitrils)" un "Pielikuma 1)punkts b)apakšpunkts (Svins un tā neorganiskie savienojumi)", izskaidrojot, ka stingrāko prasību noteikšanu ir attiecīgi izvērtēta un skaidrota to ieviešanas brīdī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atkārtoti iesakām pārliecināties vai pilnībā tiek nodrošināta un/vai atspoguļota Direktīvas tiesību normu pārņemšana, piemēram, Direktīvas 1.panta 6.punkts a) apakšpunkts šķietami saistīts arī ar noteikumu 803 12.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precizēt to, ņemot vērā, ka atbilstoši Ministru kabineta 2008. gada 29. septembra noteikumos Nr. 803 "Darba aizsardzības prasības, saskaroties ar kancerogēnām vielām darba vietās" (turpmāk - noteikumi Nr.803) iepriekš veiktajiem grozījumiem, ar noteikumu projektā paredzētajiem grozījumiem ir pārņemtas arī, piemēram, bet ne tikai, Direktīvas 2019/130, Direktīvas 2019/983 vienības (noteikumu Nr.803 1. pielikums). Attiecīgi lūdzam pārskatīt noteikumu projektu un izvērtēt, vai uz to attiecināmās, šī noteikumu projekta anotācijā nenorādītās (iepriekš pārņemtās/ieviestās), Eiropas Savienības tiesību normas joprojām ir attiecināmas. Šādā gadījumā, iesakām papildināt anotācijas 5. sadaļu ar norādēm uz Eiropas Savienības tiesību normām un/vai norādīt, ka līdz šim pārņemtās/ieviestās, no Eiropas Savienības tiesību normām  izrietošās prasības netiek mainītas, ietekmētas vai nepārņemtas.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anotācijas 5.punkta cita informācija, papildinot ar tekstu, ka noteikumu projekts neietekmē iepriekš pārņemtās direktīvas (Eiropas Parlamenta un Padomes 2017. gada 12. decembra Direktīvas (ES) 2017/2398, ar ko groza Direktīvu 2004/37/EK par darba ņēmēju aizsardzību pret risku, kas saistīts ar kancerogēnu vai mutagēnu iedarbību darbā un Eiropas Parlamenta un Padomes 2019. gada 5. jūnija Direktīva (ES) 2019/983, ar ko groza Direktīvu 2004/37/EK par darba ņēmēju aizsardzību pret risku, kas saistīts ar kancerogēnu vai mutagēnu iedarbību darbā).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pamatojoties uz to, ka, atbilstoši sniegtajai informācijai, būs jāpielāgo Valsts darba inspekcijas inspektoru apmācības, rezultātā nepaaugstināsies administratīvās izmaksas, kas nepieciešamas, lai to nodrošinātu. Nepieciešamības gadījumā, informāciju par iespējamajām izmaksām lūdzam ietvert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apraksts noteikumu projekta anotācijā. Jāatzīmē, ka Valsts darba inspekcijas inspektoru apmācības regulāri tiek atjauninātas un pilnveidotas, ņemot vērā gan normatīvo aktu izmaiņas, gan arī jaunākos zinātniskos atklājumus, labās prakses citās valstīs. Šis process neietekmē administratīvās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w:t>
            </w:r>
            <w:r w:rsidR="00000000" w:rsidRPr="00000000" w:rsidDel="00000000">
              <w:rPr>
                <w:rtl w:val="0"/>
              </w:rPr>
              <w:t xml:space="preserve"> Par visiem saslimšanas ar vēzi, nelabvēlīgas ietekmes uz pieaugušu vīriešu un sieviešu dzimumfunkciju un auglību, vai ontoģenētiskās toksicitātes izraisīšanas pēcnācējos, ko konstatē arodslimību izmeklēšanas un noteikšanas procesā, gadījumiem ārstu komisija arodslimībās normatīvajos aktos par arodslimību izmeklēšanas un uzskaites kārtību noteiktajā apjomā informē Valsts darba inspekciju.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noteikumu projekta 1.11. apakšpunkta redakciju nav nepieciešams konkretizēt norādot, ka "[..] ārstu komisija arodslimībās normatīvajos aktos par arodslimību izmeklēšanas un uzskaites kārtību noteiktajā apjomā </w:t>
            </w:r>
            <w:r w:rsidR="00000000" w:rsidRPr="00000000" w:rsidDel="00000000">
              <w:rPr>
                <w:u w:val="single"/>
                <w:rtl w:val="0"/>
              </w:rPr>
              <w:t xml:space="preserve">un kārtībā </w:t>
            </w:r>
            <w:r w:rsidR="00000000" w:rsidRPr="00000000" w:rsidDel="00000000">
              <w:rPr>
                <w:rtl w:val="0"/>
              </w:rPr>
              <w:t xml:space="preserve">informē Valsts darba inspekciju". Vēršam uzmanību, ka no pašreizējās noteikumu projekta redakcijas šķietami saprotams, ka Valsts darba inspekciju informē tikai normatīvajos aktos noteiktajā apjomā, konkrēti nenorādot un neskaidrojot, ka un vai ir jāievēro arī šajā normatīvajā aktā noteiktā kārtība. Nepieciešamības gadījumā lūdzam veikt papildinājumu.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punkts,nosakot, ka Valsts darba inspekciju informē normatīvajos aktos noteiktajā apjomā un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w:t>
            </w:r>
            <w:r w:rsidR="00000000" w:rsidRPr="00000000" w:rsidDel="00000000">
              <w:rPr>
                <w:rtl w:val="0"/>
              </w:rPr>
              <w:t xml:space="preserve"> Par visiem saslimšanas ar vēzi, nelabvēlīgas ietekmes uz pieaugušu vīriešu un sieviešu dzimumfunkciju un auglību, vai ontoģenētiskās toksicitātes izraisīšanas pēcnācējos, ko konstatē arodslimību izmeklēšanas un noteikšanas procesā, gadījumiem ārstu komisija arodslimībās normatīvajos aktos par arodslimību izmeklēšanas un uzskaites kārtību noteiktajā apjomā un kārtībā informē Valsts darba inspekciju.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Darba devējs šo noteikumu 20. punktā minēto sarakstu un šo noteikumu 53. punktā minētos veselības pārbaužu datus glabā 40 gadus pēc nodarbinātā saskares ar šo noteikumu 2.1., 2.2. vai 2.3. apakšpunktā minētajām vielām un maisījumiem vai vismaz 5 gadus pēc tā saskares ar šo noteikumu 2.4. apakšpunktā minētām vielām un maisījumiem. Pēc termiņa beigām darba devējs dokumentus nodod arhīvā likumā “Par arhīviem” noteiktajā kārtībā. Ja uzņēmumu likvidē, darbā ar kancerogēniem nodarbināto sarakstu un veselības pārbaužu datus glabā atbilstoši normatīvajos aktos par arhīva dokumentu glabāšanu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kādiem nolūkiem veselības pārbaužu dati/dokumenti pēc to glabāšanas termiņa beigām darba devējam jānodod arhīvā likumā “Par arhīviem”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informāciju par datu glabāšanas nepieciešamību, kas saistīta ar nodarbināto veselības un sociālo aizsardzību, kā arī drošas darba vides nodrošināšanu. Ņemot vērā, ka nodarbinātajam veselības traucējumi var rasties visas dzīves gaitā, ir būtiski nodrošināt sociālo aizsardzību, ja attīstās veselības traucējumi iespējamas arodslimības gadījumā, vai arī nosakot neauglības vai ģenētisku traucējumu pēcnācējos iemeslus.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Darba devējs šo noteikumu 20. punktā minēto sarakstu un šo noteikumu 53. punktā minētos veselības pārbaužu datus glabā 40 gadus pēc nodarbinātā saskares ar šo noteikumu 2.1., 2.2. vai 2.3. apakšpunktā minētajām vielām un maisījumiem vai 5 gadus pēc tā saskares ar šo noteikumu 2.4. apakšpunktā minētām vielām un maisījumiem. Pēc termiņa beigām darba devējs dokumentus nodod arhīvā likumā “Par arhīviem” noteiktajā kārtībā. Ja uzņēmumu likvidē, darbā ar kancerogēniem nodarbināto sarakstu un veselības pārbaužu datus glabā atbilstoši normatīvajos aktos par arhīva dokumentu glabāšanu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2004. gada 29. aprīļa Direktīvas </w:t>
            </w:r>
            <w:r w:rsidR="00000000" w:rsidRPr="00000000" w:rsidDel="00000000">
              <w:rPr>
                <w:rtl w:val="0"/>
              </w:rPr>
              <w:t xml:space="preserve">2004/37/EK</w:t>
            </w:r>
            <w:r w:rsidR="00000000" w:rsidRPr="00000000" w:rsidDel="00000000">
              <w:rPr>
                <w:rtl w:val="0"/>
              </w:rPr>
              <w:t xml:space="preserve"> par darbinieku aizsardzību pret risku, kas saistīts ar kancerogēnu,  mutagēnu vai reproduktīvai sistēmai toksisku vielu iedarbību darba vietā (sestā atsevišķā direktīva Padomes Direktīvas </w:t>
            </w:r>
            <w:r w:rsidR="00000000" w:rsidRPr="00000000" w:rsidDel="00000000">
              <w:rPr>
                <w:rtl w:val="0"/>
              </w:rPr>
              <w:t xml:space="preserve">89/391/EEK</w:t>
            </w:r>
            <w:r w:rsidR="00000000" w:rsidRPr="00000000" w:rsidDel="00000000">
              <w:rPr>
                <w:rtl w:val="0"/>
              </w:rPr>
              <w:t xml:space="preserve"> 16. panta 1. punkta nozīmē) (kodificēta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noteikumu projekta 1.18. apakšpunktu, ņemot vērā, ka pamatojoties uz Eiropas Parlamenta un Padomes 2022. gada 9. marta Direktīvas 2022/431, ar ko groza Direktīvu 2004/37/EK par darba ņēmēju aizsardzību pret risku, kas saistīts ar kancerogēnu vai mutagēnu iedarbību darbā (turpmāk - Direktīva 2022/431) 1. panta 1. punktu, Ministru kabineta 2008. gada 29. septembra noteikumu Nr. 803 "Darba aizsardzības prasības, saskaroties ar kancerogēnām vielām darba vietās" pirmajā informatīvajā atsaucē uz Eiropas Savienības direktīvām minētās direktīvas nosaukums tiek aizstāts ar "</w:t>
            </w:r>
            <w:r w:rsidR="00000000" w:rsidRPr="00000000" w:rsidDel="00000000">
              <w:rPr>
                <w:i w:val="1"/>
                <w:u w:val="single"/>
                <w:rtl w:val="0"/>
              </w:rPr>
              <w:t xml:space="preserve">Eiropas Parlamenta un Padomes 2004. gada 29. aprīļa Direktīva 2004/37/EK par darba ņēmēju aizsardzību pret risku, kas saistīts ar kancerogēnu, mutagēnu vai reproduktīvajai sistēmai toksisku vielu iedarbību darbā (Sestā atsevišķā direktīva Padomes Direktīvas 89/391/EEK 16. panta 1. punkta nozīmē)</w:t>
            </w:r>
            <w:r w:rsidR="00000000" w:rsidRPr="00000000" w:rsidDel="00000000">
              <w:rPr>
                <w:i w:val="1"/>
                <w:rtl w:val="0"/>
              </w:rPr>
              <w:t xml:space="preserve">" </w:t>
            </w:r>
            <w:r w:rsidR="00000000" w:rsidRPr="00000000" w:rsidDel="00000000">
              <w:rPr>
                <w:rtl w:val="0"/>
              </w:rPr>
              <w:t xml:space="preserve">nevis "</w:t>
            </w:r>
            <w:r w:rsidR="00000000" w:rsidRPr="00000000" w:rsidDel="00000000">
              <w:rPr>
                <w:i w:val="1"/>
                <w:rtl w:val="0"/>
              </w:rPr>
              <w:t xml:space="preserve">Eiropas Parlamenta un Padomes 2004. gada 29. aprīļa Direktīvas 2004/37/EK par darbinieku aizsardzību pret risku, kas saistīts ar kancerogēnu,  mutagēnu vai reproduktīvai sistēmai toksisku vielu iedarbību darba vietā (sestā atsevišķā direktīva Padomes Direktīvas 89/391/EEK 16. panta 1. punkta nozīmē) (kodificēta redakcija)".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2004. gada 29. aprīļa Direktīvas </w:t>
            </w:r>
            <w:r w:rsidR="00000000" w:rsidRPr="00000000" w:rsidDel="00000000">
              <w:rPr>
                <w:rtl w:val="0"/>
              </w:rPr>
              <w:t xml:space="preserve">2004/37/EK</w:t>
            </w:r>
            <w:r w:rsidR="00000000" w:rsidRPr="00000000" w:rsidDel="00000000">
              <w:rPr>
                <w:rtl w:val="0"/>
              </w:rPr>
              <w:t xml:space="preserve"> par darba ņēmēju aizsardzību pret risku, kas saistīts ar kancerogēnu,  mutagēnu vai reproduktīvai sistēmai toksisku vielu iedarbību darba vietā (sestā atsevišķā direktīva Padomes Direktīvas </w:t>
            </w:r>
            <w:r w:rsidR="00000000" w:rsidRPr="00000000" w:rsidDel="00000000">
              <w:rPr>
                <w:rtl w:val="0"/>
              </w:rPr>
              <w:t xml:space="preserve">89/391/EEK</w:t>
            </w:r>
            <w:r w:rsidR="00000000" w:rsidRPr="00000000" w:rsidDel="00000000">
              <w:rPr>
                <w:rtl w:val="0"/>
              </w:rPr>
              <w:t xml:space="preserve"> 16. panta 1. punkta nozīmē);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Kancerogēni un to aroda ekspozīcijas robežvērtības (AER)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Labklājības ministrijas izstrādāto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“Grozījumi Ministru kabineta 2008. gada 29. septembra noteikumos Nr. 803 "Darba aizsardzības prasības, saskaroties ar kancerogēnām vielām darba vietās"” (23-TA-1698).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tiesību normu piemērošanas praksi un interpretāciju iesaistīto pušu starpā, LTRK ieskatā noteikumu projekta 1. pielikumā ir nepieciešams definēt, kas ir cietkoksnes putekļi. Citādāk piedāvātie grozījumu sniedz pārāk plašas interpretācijas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cietkoksnes putekļiem, paskaidrojam, ka labākai izpratnei cietkoksnes piemēri minēti tematiskajos informatīvajos materiālos, kas atrodami www.stradavesels.lv un kur sniegta arī plašāka informācija par risku noteikšanu un novērtēšanu, kā arī preventīvajiem pasākumiem. Informācija par cietkoksnes putekļiem un to piemēriem atrodama arī semināra par darba aizsardzību kokapstrādē materiālos, piemēram, prezentācijā http://stradavesels.lv/Uploads/2023/05/18/17052023_DASpec_kimija_likumdos_MartinsoneI.pdf . Informējam, ka jau pašlaik informatīvajos materiālos ir atrodami cietkoksnes piemēri, bet šogad tiek plānots aktualizēt informatīvos materiālus, kur tiks sniegts plašāks cietkokšņu apraksts. Atbilstoši pieejamajai informācijai: Cietās koksnes - lapegle, dižskābardis, bērzs, ozols, goba, platāna, kļava, ķirsis, osis, grieķu riekstkoks, pīlādzis, ābele, liepa, apse, vītols, alksnis, melnkoks, kastanis. Īpaši cietās koksnes - baltā akācija, buksuss, skābardis, kizils, dzelzsbērzs, pistāciju koks, īve.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Kancerogēni un to aroda ekspozīcijas robežvērtības (AER)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Kancerogēni un to aroda ekspozīcijas robežvērtības (AER)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1. pielikumu un veikt nepieciešamos precizējumus. Vēršam uzmanību, ka ņemot vērā anotācijā sniegto informāciju, grozījumi noteikumu Nr. 803 1. pielikumā tiek veikti tajā pārceļot kancerogēnus no noteikumu Nr.325 1. pielikuma. Atbilstoši grozījumu projektam noteikumos Nr.325 (Tiesību akta lietas ID: 23-TA-3257), no tiem plānots svītrot, piemēram, "dimeti</w:t>
            </w:r>
            <w:r w:rsidR="00000000" w:rsidRPr="00000000" w:rsidDel="00000000">
              <w:rPr>
                <w:u w:val="single"/>
                <w:rtl w:val="0"/>
              </w:rPr>
              <w:t xml:space="preserve">l</w:t>
            </w:r>
            <w:r w:rsidR="00000000" w:rsidRPr="00000000" w:rsidDel="00000000">
              <w:rPr>
                <w:rtl w:val="0"/>
              </w:rPr>
              <w:t xml:space="preserve">acetamīds", "trihlorpropāns" un "formaldehīds </w:t>
            </w:r>
            <w:r w:rsidR="00000000" w:rsidRPr="00000000" w:rsidDel="00000000">
              <w:rPr>
                <w:u w:val="single"/>
                <w:rtl w:val="0"/>
              </w:rPr>
              <w:t xml:space="preserve">(metanāls)</w:t>
            </w:r>
            <w:r w:rsidR="00000000" w:rsidRPr="00000000" w:rsidDel="00000000">
              <w:rPr>
                <w:rtl w:val="0"/>
              </w:rPr>
              <w:t xml:space="preserve">", bet konkrētajā noteikumu projektā, domājams nepareizās redakcijās, tie tiek iekļauti kā: "dimetiacetamīds", "trihlor</w:t>
            </w:r>
            <w:r w:rsidR="00000000" w:rsidRPr="00000000" w:rsidDel="00000000">
              <w:rPr>
                <w:u w:val="single"/>
                <w:rtl w:val="0"/>
              </w:rPr>
              <w:t xml:space="preserve">o</w:t>
            </w:r>
            <w:r w:rsidR="00000000" w:rsidRPr="00000000" w:rsidDel="00000000">
              <w:rPr>
                <w:rtl w:val="0"/>
              </w:rPr>
              <w:t xml:space="preserve">propāns" un "formaldehīds". Attiecīgi, lūdzam nodrošināt korektu noteikumu projekta pielikuma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1.pielikums ir pārskatīts, pārceļot uz noteikumiem Nr.803, vielu nosaukumi tika precizēti atbilstoši direktīvā Nr.2022/431 noteiktajam. Jāatzīmē, ka noteikumos Nr.325 bija neprecīzs vielas nosaukums, kā arī uz noteikumiem Nr.803 netika pārcelti vielu triviālie nosaukumi. Vienlaikus skaidrojam, ka darba aizsardzības jomas speciālistiem būtisks ir vielas CAS numurs, atbilstoši kuram tiek meklēta informācija par vielām.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Kancerogēni un to aroda ekspozīcijas robežvērtības (AER)</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23-TA-1698</w:t>
    </w:r>
    <w:r>
      <w:br/>
    </w:r>
    <w:r w:rsidR="00000000" w:rsidRPr="00000000" w:rsidDel="00000000">
      <w:rPr>
        <w:rtl w:val="0"/>
      </w:rPr>
      <w:t xml:space="preserve">08.03.2024. 09.20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23-TA-1698</w:t>
    </w:r>
    <w:r>
      <w:br/>
    </w:r>
    <w:r w:rsidR="00000000" w:rsidRPr="00000000" w:rsidDel="00000000">
      <w:rPr>
        <w:rtl w:val="0"/>
      </w:rPr>
      <w:t xml:space="preserve">08.03.2024. 09.20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Izziņa_23-TA-1698.docx</dc:title>
</cp:coreProperties>
</file>

<file path=docProps/custom.xml><?xml version="1.0" encoding="utf-8"?>
<Properties xmlns="http://schemas.openxmlformats.org/officeDocument/2006/custom-properties" xmlns:vt="http://schemas.openxmlformats.org/officeDocument/2006/docPropsVTypes"/>
</file>