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D8C815" w14:textId="77777777" w:rsidR="00825EB0" w:rsidRDefault="00825EB0">
      <w:pPr>
        <w:sectPr w:rsidR="00825EB0" w:rsidSect="00B0700E">
          <w:headerReference w:type="default" r:id="rId10"/>
          <w:footerReference w:type="default" r:id="rId11"/>
          <w:pgSz w:w="12240" w:h="15840"/>
          <w:pgMar w:top="1440" w:right="1134" w:bottom="851" w:left="1797" w:header="720" w:footer="720" w:gutter="0"/>
          <w:cols w:space="720"/>
          <w:docGrid w:linePitch="360"/>
        </w:sectPr>
      </w:pPr>
      <w:bookmarkStart w:id="0" w:name="_GoBack"/>
      <w:bookmarkEnd w:id="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168"/>
        <w:gridCol w:w="4141"/>
      </w:tblGrid>
      <w:tr w:rsidR="00825EB0" w14:paraId="7F5E4989" w14:textId="77777777" w:rsidTr="00423A9A">
        <w:tc>
          <w:tcPr>
            <w:tcW w:w="9309" w:type="dxa"/>
            <w:gridSpan w:val="2"/>
          </w:tcPr>
          <w:p w14:paraId="15808AEC" w14:textId="1EDE3E76" w:rsidR="00825EB0" w:rsidRPr="00825EB0" w:rsidRDefault="00EB28B8">
            <w:pPr>
              <w:rPr>
                <w:b/>
              </w:rPr>
            </w:pPr>
            <w:r>
              <w:rPr>
                <w:b/>
              </w:rPr>
              <w:t>29.01.2021 Nr.1-2.40/209</w:t>
            </w:r>
          </w:p>
        </w:tc>
      </w:tr>
      <w:tr w:rsidR="0053699C" w14:paraId="40EAE831" w14:textId="77777777" w:rsidTr="002D7B26">
        <w:tc>
          <w:tcPr>
            <w:tcW w:w="9309" w:type="dxa"/>
            <w:gridSpan w:val="2"/>
          </w:tcPr>
          <w:sdt>
            <w:sdtPr>
              <w:rPr>
                <w:rFonts w:cs="Times New Roman"/>
                <w:b/>
                <w:szCs w:val="24"/>
              </w:rPr>
              <w:id w:val="188342190"/>
              <w:placeholder>
                <w:docPart w:val="8499E561041D406792B965543F5D27B9"/>
              </w:placeholder>
            </w:sdtPr>
            <w:sdtEndPr/>
            <w:sdtContent>
              <w:p w14:paraId="452A3033" w14:textId="77777777" w:rsidR="00317ADF" w:rsidRDefault="00317ADF" w:rsidP="00CD7E23">
                <w:pPr>
                  <w:jc w:val="right"/>
                  <w:rPr>
                    <w:rFonts w:cs="Times New Roman"/>
                    <w:b/>
                    <w:szCs w:val="24"/>
                  </w:rPr>
                </w:pPr>
              </w:p>
              <w:p w14:paraId="4BD18BBE" w14:textId="01020298" w:rsidR="0053699C" w:rsidRPr="00D22148" w:rsidRDefault="003766E8" w:rsidP="00CD7E23">
                <w:pPr>
                  <w:jc w:val="right"/>
                  <w:rPr>
                    <w:rFonts w:cs="Times New Roman"/>
                    <w:b/>
                    <w:szCs w:val="24"/>
                  </w:rPr>
                </w:pPr>
                <w:r>
                  <w:rPr>
                    <w:rFonts w:cs="Times New Roman"/>
                    <w:b/>
                    <w:szCs w:val="24"/>
                  </w:rPr>
                  <w:t>Ekonomikas ministrija</w:t>
                </w:r>
              </w:p>
            </w:sdtContent>
          </w:sdt>
        </w:tc>
      </w:tr>
      <w:tr w:rsidR="00DF3455" w14:paraId="3AB45957" w14:textId="77777777" w:rsidTr="0053699C">
        <w:tc>
          <w:tcPr>
            <w:tcW w:w="5168" w:type="dxa"/>
          </w:tcPr>
          <w:p w14:paraId="0EDA766C" w14:textId="77777777" w:rsidR="00825EB0" w:rsidRDefault="00825EB0" w:rsidP="00225FDA"/>
        </w:tc>
        <w:tc>
          <w:tcPr>
            <w:tcW w:w="4141" w:type="dxa"/>
          </w:tcPr>
          <w:p w14:paraId="6DFDBFCF" w14:textId="5DB5A900" w:rsidR="00537D34" w:rsidRPr="00DF3455" w:rsidRDefault="00537D34" w:rsidP="005E07A4">
            <w:pPr>
              <w:jc w:val="right"/>
              <w:rPr>
                <w:rFonts w:cs="Times New Roman"/>
                <w:bCs/>
                <w:szCs w:val="24"/>
              </w:rPr>
            </w:pPr>
          </w:p>
        </w:tc>
      </w:tr>
      <w:tr w:rsidR="0053699C" w14:paraId="13CA98A4" w14:textId="77777777" w:rsidTr="00565489">
        <w:trPr>
          <w:trHeight w:val="311"/>
        </w:trPr>
        <w:tc>
          <w:tcPr>
            <w:tcW w:w="9309" w:type="dxa"/>
            <w:gridSpan w:val="2"/>
            <w:tcMar>
              <w:top w:w="240" w:type="dxa"/>
              <w:bottom w:w="240" w:type="dxa"/>
            </w:tcMar>
          </w:tcPr>
          <w:p w14:paraId="3F2C90A8" w14:textId="77777777" w:rsidR="00317ADF" w:rsidRDefault="0053699C" w:rsidP="00825EB0">
            <w:pPr>
              <w:rPr>
                <w:b/>
                <w:bCs/>
              </w:rPr>
            </w:pPr>
            <w:r w:rsidRPr="005E07A4">
              <w:rPr>
                <w:b/>
                <w:bCs/>
              </w:rPr>
              <w:t xml:space="preserve">Par Ministru kabineta noteikumu projektu  </w:t>
            </w:r>
          </w:p>
          <w:p w14:paraId="0CA580E5" w14:textId="77777777" w:rsidR="00317ADF" w:rsidRDefault="0053699C" w:rsidP="00825EB0">
            <w:pPr>
              <w:rPr>
                <w:b/>
                <w:bCs/>
              </w:rPr>
            </w:pPr>
            <w:r w:rsidRPr="005E07A4">
              <w:rPr>
                <w:b/>
                <w:bCs/>
              </w:rPr>
              <w:t xml:space="preserve">“Grozījumi Ministru kabineta 2020.gada 2.septembra noteikumos </w:t>
            </w:r>
          </w:p>
          <w:p w14:paraId="14191C3A" w14:textId="77777777" w:rsidR="00317ADF" w:rsidRDefault="0053699C" w:rsidP="00825EB0">
            <w:pPr>
              <w:rPr>
                <w:b/>
                <w:bCs/>
              </w:rPr>
            </w:pPr>
            <w:r w:rsidRPr="005E07A4">
              <w:rPr>
                <w:b/>
                <w:bCs/>
              </w:rPr>
              <w:t xml:space="preserve">Nr.561 “Noteikumi par elektroenerģijas ražošanu, uzraudzību un </w:t>
            </w:r>
          </w:p>
          <w:p w14:paraId="71242C76" w14:textId="444E8A36" w:rsidR="0053699C" w:rsidRPr="009F2022" w:rsidRDefault="0053699C" w:rsidP="00825EB0">
            <w:r w:rsidRPr="005E07A4">
              <w:rPr>
                <w:b/>
                <w:bCs/>
              </w:rPr>
              <w:t>cenu noteikšanu, ražojot elektroenerģiju koģenerācijā”” (VSS – 37)</w:t>
            </w:r>
          </w:p>
        </w:tc>
      </w:tr>
    </w:tbl>
    <w:sdt>
      <w:sdtPr>
        <w:rPr>
          <w:rFonts w:eastAsia="Times New Roman" w:cs="Times New Roman"/>
          <w:szCs w:val="24"/>
          <w:lang w:eastAsia="lv-LV"/>
        </w:rPr>
        <w:id w:val="-1277478208"/>
        <w:placeholder>
          <w:docPart w:val="821BF0A9295242A588FE7A27C0C362B8"/>
        </w:placeholder>
      </w:sdtPr>
      <w:sdtEndPr/>
      <w:sdtContent>
        <w:p w14:paraId="528CF9AE" w14:textId="77777777" w:rsidR="003766E8" w:rsidRDefault="003766E8" w:rsidP="003766E8">
          <w:pPr>
            <w:ind w:firstLine="709"/>
          </w:pPr>
        </w:p>
        <w:p w14:paraId="7201F276" w14:textId="43EC1275" w:rsidR="003766E8" w:rsidRPr="00D20A21" w:rsidRDefault="003766E8" w:rsidP="003766E8">
          <w:pPr>
            <w:ind w:firstLine="709"/>
            <w:rPr>
              <w:rFonts w:cs="Times New Roman"/>
              <w:szCs w:val="24"/>
            </w:rPr>
          </w:pPr>
          <w:r w:rsidRPr="00767829">
            <w:rPr>
              <w:rFonts w:cs="Times New Roman"/>
              <w:szCs w:val="24"/>
              <w:lang w:eastAsia="x-none"/>
            </w:rPr>
            <w:t xml:space="preserve">Sabiedrisko pakalpojumu regulēšanas komisija (turpmāk – Regulators) ir izskatījusi 2021.gada 14.janvāra Valsts sekretāru sanāksmē izsludināto Ministru kabineta noteikumu projektu </w:t>
          </w:r>
          <w:r w:rsidRPr="00767829">
            <w:rPr>
              <w:rFonts w:cs="Times New Roman"/>
              <w:szCs w:val="24"/>
            </w:rPr>
            <w:t xml:space="preserve"> </w:t>
          </w:r>
          <w:r w:rsidRPr="00767829">
            <w:rPr>
              <w:rFonts w:cs="Times New Roman"/>
              <w:szCs w:val="24"/>
              <w:shd w:val="clear" w:color="auto" w:fill="FFFFFF"/>
            </w:rPr>
            <w:t>“Grozījumi Ministru kabineta 2020.gada 2.septembra noteikumos Nr.561 “Noteikumi par elektroenerģijas ražošanu, uzraudzību un cenu noteikšanu, ražojot elektroenerģiju koģenerācijā””</w:t>
          </w:r>
          <w:r w:rsidRPr="00767829">
            <w:rPr>
              <w:rFonts w:cs="Times New Roman"/>
              <w:szCs w:val="24"/>
            </w:rPr>
            <w:t xml:space="preserve"> (turpmāk – Noteikumu projekts) un tā </w:t>
          </w:r>
          <w:r w:rsidRPr="00767829">
            <w:rPr>
              <w:rFonts w:cs="Times New Roman"/>
              <w:szCs w:val="24"/>
              <w:lang w:eastAsia="x-none"/>
            </w:rPr>
            <w:t xml:space="preserve">sākotnējās ietekmes novērtējuma ziņojumu (anotācija) un savas kompetences </w:t>
          </w:r>
          <w:r w:rsidRPr="00D20A21">
            <w:rPr>
              <w:rFonts w:cs="Times New Roman"/>
              <w:szCs w:val="24"/>
              <w:lang w:eastAsia="x-none"/>
            </w:rPr>
            <w:t>ietvaros</w:t>
          </w:r>
          <w:r w:rsidRPr="00D20A21">
            <w:rPr>
              <w:rFonts w:cs="Times New Roman"/>
              <w:szCs w:val="24"/>
            </w:rPr>
            <w:t xml:space="preserve"> neiebilst pret to tālāku virzību, ja tiek ņemts vērā šāds Regulatora iebildums: </w:t>
          </w:r>
        </w:p>
        <w:p w14:paraId="6B94B681" w14:textId="77777777" w:rsidR="003766E8" w:rsidRDefault="003766E8" w:rsidP="003766E8">
          <w:pPr>
            <w:ind w:firstLine="709"/>
            <w:rPr>
              <w:rFonts w:cs="Times New Roman"/>
              <w:szCs w:val="24"/>
            </w:rPr>
          </w:pPr>
        </w:p>
        <w:p w14:paraId="4FBF7F25" w14:textId="055366A0" w:rsidR="003766E8" w:rsidRPr="002E5F61" w:rsidRDefault="003766E8" w:rsidP="003766E8">
          <w:pPr>
            <w:ind w:firstLine="709"/>
            <w:rPr>
              <w:rFonts w:cs="Times New Roman"/>
              <w:szCs w:val="24"/>
            </w:rPr>
          </w:pPr>
          <w:r w:rsidRPr="002E5F61">
            <w:rPr>
              <w:rFonts w:cs="Times New Roman"/>
              <w:szCs w:val="24"/>
            </w:rPr>
            <w:t>Regulators norāda, ka saskaņā ar Ministru kabineta 2009.gada 10.marta noteikumu Nr.221 “Noteikumi par elektroenerģijas ražošanu un cenu noteikšanu, ražojot elektroenerģiju koģenerācijā” (turpmāk – Noteikumi Nr.221), kas bija spēkā līdz 2020.gada 11.septembrim, 56.</w:t>
          </w:r>
          <w:r w:rsidRPr="002E5F61">
            <w:rPr>
              <w:rFonts w:cs="Times New Roman"/>
              <w:szCs w:val="24"/>
              <w:vertAlign w:val="superscript"/>
            </w:rPr>
            <w:t>16</w:t>
          </w:r>
          <w:r w:rsidRPr="002E5F61">
            <w:rPr>
              <w:rFonts w:cs="Times New Roman"/>
              <w:szCs w:val="24"/>
            </w:rPr>
            <w:t>punktu šo noteikumu 56.</w:t>
          </w:r>
          <w:r w:rsidRPr="002E5F61">
            <w:rPr>
              <w:rFonts w:cs="Times New Roman"/>
              <w:szCs w:val="24"/>
              <w:vertAlign w:val="superscript"/>
            </w:rPr>
            <w:t>1</w:t>
          </w:r>
          <w:r w:rsidRPr="002E5F61">
            <w:rPr>
              <w:rFonts w:cs="Times New Roman"/>
              <w:szCs w:val="24"/>
            </w:rPr>
            <w:t> un 56.</w:t>
          </w:r>
          <w:r w:rsidRPr="002E5F61">
            <w:rPr>
              <w:rFonts w:cs="Times New Roman"/>
              <w:szCs w:val="24"/>
              <w:vertAlign w:val="superscript"/>
            </w:rPr>
            <w:t>9 </w:t>
          </w:r>
          <w:r w:rsidRPr="002E5F61">
            <w:rPr>
              <w:rFonts w:cs="Times New Roman"/>
              <w:szCs w:val="24"/>
            </w:rPr>
            <w:t>punktā minētās prasības</w:t>
          </w:r>
          <w:r w:rsidRPr="002E5F61">
            <w:rPr>
              <w:rStyle w:val="FootnoteReference"/>
              <w:rFonts w:cs="Times New Roman"/>
              <w:szCs w:val="24"/>
            </w:rPr>
            <w:footnoteReference w:id="2"/>
          </w:r>
          <w:r w:rsidRPr="002E5F61">
            <w:rPr>
              <w:rFonts w:cs="Times New Roman"/>
              <w:szCs w:val="24"/>
            </w:rPr>
            <w:t xml:space="preserve"> nav attiecināmas uz tām koģenerācijas elektrostacijām, </w:t>
          </w:r>
          <w:r w:rsidRPr="002E5F61">
            <w:rPr>
              <w:rFonts w:cs="Times New Roman"/>
              <w:szCs w:val="24"/>
              <w:u w:val="single"/>
            </w:rPr>
            <w:t>kurām triju gadu laikā no datuma, kurā tās ir uzsākušas izmantot šo noteikumu 20.punktā minētās tiesības, saražotās siltumenerģijas tarifu ir apstiprinājis regulators</w:t>
          </w:r>
          <w:r w:rsidRPr="002E5F61">
            <w:rPr>
              <w:rFonts w:cs="Times New Roman"/>
              <w:szCs w:val="24"/>
            </w:rPr>
            <w:t xml:space="preserve">. Šāds </w:t>
          </w:r>
          <w:r>
            <w:rPr>
              <w:rFonts w:cs="Times New Roman"/>
              <w:szCs w:val="24"/>
            </w:rPr>
            <w:t>nosacījums</w:t>
          </w:r>
          <w:r w:rsidRPr="002E5F61">
            <w:rPr>
              <w:rFonts w:cs="Times New Roman"/>
              <w:szCs w:val="24"/>
            </w:rPr>
            <w:t xml:space="preserve"> nav paredzēts Noteikumu projektā. Regulatora ieskatā, minētais Noteikumu Nr.221 regulējums sasniedza izvirzīto mērķi – </w:t>
          </w:r>
          <w:proofErr w:type="spellStart"/>
          <w:r w:rsidRPr="002E5F61">
            <w:rPr>
              <w:rFonts w:cs="Times New Roman"/>
              <w:szCs w:val="24"/>
            </w:rPr>
            <w:t>pārkompensācijas</w:t>
          </w:r>
          <w:proofErr w:type="spellEnd"/>
          <w:r w:rsidRPr="002E5F61">
            <w:rPr>
              <w:rFonts w:cs="Times New Roman"/>
              <w:szCs w:val="24"/>
            </w:rPr>
            <w:t xml:space="preserve"> novēršanu – tāpēc nebūtu pamata to neietvert Noteikumu projektā</w:t>
          </w:r>
          <w:r>
            <w:rPr>
              <w:rFonts w:cs="Times New Roman"/>
              <w:szCs w:val="24"/>
            </w:rPr>
            <w:t xml:space="preserve"> </w:t>
          </w:r>
          <w:r w:rsidRPr="00C12200">
            <w:rPr>
              <w:rFonts w:cs="Times New Roman"/>
              <w:szCs w:val="24"/>
            </w:rPr>
            <w:t xml:space="preserve">(jābūt ietvertam IRR aprēķinā). </w:t>
          </w:r>
          <w:r w:rsidRPr="002E5F61">
            <w:rPr>
              <w:rFonts w:cs="Times New Roman"/>
            </w:rPr>
            <w:t xml:space="preserve">Ja Ekonomikas </w:t>
          </w:r>
          <w:r w:rsidRPr="002E5F61">
            <w:rPr>
              <w:rFonts w:cs="Times New Roman"/>
            </w:rPr>
            <w:lastRenderedPageBreak/>
            <w:t xml:space="preserve">ministrija plāno mainīt līdzšinējo regulējumu, tad anotāciju ir nepieciešams papildināt ar pamatojumu. </w:t>
          </w:r>
        </w:p>
        <w:p w14:paraId="007D8609" w14:textId="432A5D69" w:rsidR="003766E8" w:rsidRDefault="003766E8" w:rsidP="003766E8">
          <w:pPr>
            <w:ind w:firstLine="709"/>
            <w:rPr>
              <w:rFonts w:cs="Times New Roman"/>
              <w:szCs w:val="24"/>
            </w:rPr>
          </w:pPr>
          <w:r w:rsidRPr="00BF350D">
            <w:rPr>
              <w:rFonts w:cs="Times New Roman"/>
              <w:szCs w:val="24"/>
            </w:rPr>
            <w:t>Vienlaikus Regulators vērš uzmanību uz nepieciešamību precizēt Noteikumu projektu un anotāciju šādos jautājumos:</w:t>
          </w:r>
        </w:p>
        <w:p w14:paraId="4B4E6A5F" w14:textId="77777777" w:rsidR="003766E8" w:rsidRPr="00BF350D" w:rsidRDefault="003766E8" w:rsidP="003766E8">
          <w:pPr>
            <w:ind w:firstLine="709"/>
            <w:rPr>
              <w:rFonts w:cs="Times New Roman"/>
              <w:szCs w:val="24"/>
            </w:rPr>
          </w:pPr>
        </w:p>
        <w:p w14:paraId="16500C1E" w14:textId="77777777" w:rsidR="003766E8" w:rsidRDefault="003766E8" w:rsidP="003766E8">
          <w:pPr>
            <w:pStyle w:val="ListParagraph"/>
            <w:numPr>
              <w:ilvl w:val="0"/>
              <w:numId w:val="1"/>
            </w:numPr>
            <w:ind w:left="0" w:firstLine="709"/>
            <w:jc w:val="both"/>
          </w:pPr>
          <w:r w:rsidRPr="00BF350D">
            <w:t xml:space="preserve">Noteikumu projekts paredz trīs Būvniecības valsts kontroles biroja (turpmāk – BVKB) lēmumu veidus neatbilstību konstatēšanas gadījumā: lēmums par obligātā iepirkuma </w:t>
          </w:r>
          <w:r w:rsidRPr="00C12200">
            <w:t>vai garantētās maksas</w:t>
          </w:r>
          <w:r>
            <w:t xml:space="preserve"> </w:t>
          </w:r>
          <w:r w:rsidRPr="00BF350D">
            <w:t xml:space="preserve">tiesību atcelšanu, lēmums apturēt valsts atbalstu un lēmums apturēt valsts atbalsta izmaksu. Anotācijā ir uzsvērts, ka lēmums apturēt valsts atbalstu un lēmums apturēt valsts atbalsta izmaksu tiek pieņemts atšķirīgās situācijās. Šādu divu lēmumu nodalīšanai būtu nozīme tādā gadījumā, ja tiem būtu atšķirīgas sekas. Tomēr ne no Noteikumu projekta, ne anotācijas šīs atšķirīgās sekas nevar nolasīt. Tai pat laikā anotācijā ir teikts, ka, lai atjaunotu apturēto valsts atbalstu vai valsts atbalsta izmaksu (tātad abu lēmumu gadījumā), komersantam ir pienākums pierādīt, ka konstatētais pārkāpums ir novērsts; ja komersants pārkāpumu nenovērš (vai neiesniedz informāciju, kas to apstiprina jeb pierāda), tiek atceltas obligātā iepirkuma </w:t>
          </w:r>
          <w:r w:rsidRPr="00C12200">
            <w:t>vai garantētās maksas</w:t>
          </w:r>
          <w:r w:rsidRPr="006C644E">
            <w:t xml:space="preserve"> </w:t>
          </w:r>
          <w:r w:rsidRPr="00BF350D">
            <w:t>tiesības. Būtiski norādīt, ka arī publiskā tirgotāja tiesības un pienākumi abu lēmumu gadījumā nav precīzi definēti, līdz ar to pieļauj atšķirīgu šo normu interpretāciju.</w:t>
          </w:r>
        </w:p>
        <w:p w14:paraId="6A8BC7B5" w14:textId="1A53A790" w:rsidR="003766E8" w:rsidRPr="00BF350D" w:rsidRDefault="003766E8" w:rsidP="003766E8">
          <w:pPr>
            <w:pStyle w:val="ListParagraph"/>
            <w:ind w:left="709"/>
            <w:jc w:val="both"/>
          </w:pPr>
          <w:r w:rsidRPr="00BF350D">
            <w:t xml:space="preserve">  </w:t>
          </w:r>
        </w:p>
        <w:p w14:paraId="0F794CB1" w14:textId="2A72B2B5" w:rsidR="003766E8" w:rsidRDefault="003766E8" w:rsidP="003766E8">
          <w:pPr>
            <w:pStyle w:val="ListParagraph"/>
            <w:numPr>
              <w:ilvl w:val="0"/>
              <w:numId w:val="1"/>
            </w:numPr>
            <w:ind w:left="0" w:firstLine="709"/>
            <w:jc w:val="both"/>
          </w:pPr>
          <w:r w:rsidRPr="004B460B">
            <w:t>Noteikumu projekta 22.punktā noteikts, ka Ministru kabineta 2020.gada 2.septembra noteikumi Nr.561 “Noteikumi par elektroenerģijas ražošanu, uzraudzību un cenu noteikšanu, ražojot elektroenerģiju koģenerācijā</w:t>
          </w:r>
          <w:r>
            <w:t>”</w:t>
          </w:r>
          <w:r w:rsidRPr="004B460B">
            <w:rPr>
              <w:shd w:val="clear" w:color="auto" w:fill="FFFFFF"/>
            </w:rPr>
            <w:t xml:space="preserve"> </w:t>
          </w:r>
          <w:r>
            <w:rPr>
              <w:shd w:val="clear" w:color="auto" w:fill="FFFFFF"/>
            </w:rPr>
            <w:t>(</w:t>
          </w:r>
          <w:r w:rsidRPr="00FC5F59">
            <w:rPr>
              <w:shd w:val="clear" w:color="auto" w:fill="FFFFFF"/>
            </w:rPr>
            <w:t>turpmāk – Noteikumi Nr.</w:t>
          </w:r>
          <w:r>
            <w:rPr>
              <w:shd w:val="clear" w:color="auto" w:fill="FFFFFF"/>
            </w:rPr>
            <w:t xml:space="preserve">561) </w:t>
          </w:r>
          <w:r w:rsidRPr="004B460B">
            <w:t>tiek papildināti ar 81.</w:t>
          </w:r>
          <w:r w:rsidRPr="004B460B">
            <w:rPr>
              <w:vertAlign w:val="superscript"/>
            </w:rPr>
            <w:t>1</w:t>
          </w:r>
          <w:r w:rsidRPr="004B460B">
            <w:t>punktu kas nosaka, ka</w:t>
          </w:r>
          <w:r w:rsidRPr="004B460B">
            <w:rPr>
              <w:rFonts w:eastAsia="Calibri"/>
              <w:lang w:eastAsia="en-US"/>
            </w:rPr>
            <w:t xml:space="preserve"> “</w:t>
          </w:r>
          <w:r w:rsidRPr="004B460B">
            <w:t>elektroenerģijas daudzumu, kas elektrostacijā saražots un nodots sistēmas operatora tīklā periodā, kurā apturēts valsts atbalsts, komersants pārdod publiskajam tirgotājam par vienošanās cenu.” Tai pat laikā nav skaidri noteikts, kas notiek situācijā, kad BVKB pieņem lēmumu par valsts atbalsta izmaksas pārtraukšanu. Vai šādā gadījumā publiskajam tirgotājam ir pienākums iepirkt saražoto un elektrotīklā nodoto elektroenerģiju, par kādu cenu un kāda ir publiskā tirgotāja rīcība attiecībā pret komersantiem, kas saņem garantēto maksu par koģenerācijas stacijā uzstādīto elektrisko jaudu</w:t>
          </w:r>
          <w:r w:rsidR="00317ADF">
            <w:t>?</w:t>
          </w:r>
          <w:r>
            <w:t xml:space="preserve"> </w:t>
          </w:r>
          <w:r w:rsidR="00317ADF">
            <w:t xml:space="preserve">Tāpat </w:t>
          </w:r>
          <w:r>
            <w:t>nav noteikts, par kādu periodu pēc valsts atbalsta izmaksu atjaunošanas tiek maksāts.</w:t>
          </w:r>
          <w:r w:rsidRPr="004B460B">
            <w:t xml:space="preserve"> Regulatora ieskatā, vienošanās cena jāatrunā elektroenerģijas iepirkuma līgumā, lai gan komersantam, gan publiskajam tirgotājam ir skaidri un saprotami nosacījumi situācijā, kad pieņemts kāds no iepriekš minētajiem BVKB lēmumiem. </w:t>
          </w:r>
        </w:p>
        <w:p w14:paraId="10871E86" w14:textId="77777777" w:rsidR="003766E8" w:rsidRPr="004B460B" w:rsidRDefault="003766E8" w:rsidP="003766E8">
          <w:pPr>
            <w:pStyle w:val="ListParagraph"/>
            <w:ind w:left="709"/>
            <w:jc w:val="both"/>
          </w:pPr>
        </w:p>
        <w:p w14:paraId="3B7FCA63" w14:textId="2AAAAE15" w:rsidR="003766E8" w:rsidRPr="003766E8" w:rsidRDefault="003766E8" w:rsidP="003766E8">
          <w:pPr>
            <w:pStyle w:val="ListParagraph"/>
            <w:numPr>
              <w:ilvl w:val="0"/>
              <w:numId w:val="1"/>
            </w:numPr>
            <w:spacing w:after="165"/>
            <w:ind w:left="0" w:firstLine="709"/>
            <w:jc w:val="both"/>
          </w:pPr>
          <w:r w:rsidRPr="00BF350D">
            <w:t xml:space="preserve">Regulators uzskata, ka Noteikumu </w:t>
          </w:r>
          <w:r w:rsidRPr="00F22BA2">
            <w:t>projekta 12.punktā noteiktais faktiski atkārto to, kas jau paredzēts citos Noteikumu projekta punktos, kuros noteikts, kad BVKB</w:t>
          </w:r>
          <w:r w:rsidRPr="00F22BA2" w:rsidDel="0050349A">
            <w:t xml:space="preserve"> </w:t>
          </w:r>
          <w:r w:rsidRPr="00F22BA2">
            <w:t xml:space="preserve">var izteikt brīdinājumu vai pieņemt lēmumu. Ja ir vēl kādi gadījumi, kuri nav uzskaitīti Noteikumu projektā vai </w:t>
          </w:r>
          <w:r w:rsidRPr="00F22BA2">
            <w:rPr>
              <w:shd w:val="clear" w:color="auto" w:fill="FFFFFF"/>
            </w:rPr>
            <w:t xml:space="preserve">Noteikumos Nr.561, tad tas jānorāda anotācijā. </w:t>
          </w:r>
        </w:p>
        <w:p w14:paraId="21FC6864" w14:textId="77777777" w:rsidR="003766E8" w:rsidRDefault="003766E8" w:rsidP="003766E8">
          <w:pPr>
            <w:pStyle w:val="ListParagraph"/>
          </w:pPr>
        </w:p>
        <w:p w14:paraId="139B91D3" w14:textId="331D3DAC" w:rsidR="00825EB0" w:rsidRDefault="003766E8" w:rsidP="00EE439F">
          <w:pPr>
            <w:pStyle w:val="ListParagraph"/>
            <w:numPr>
              <w:ilvl w:val="0"/>
              <w:numId w:val="1"/>
            </w:numPr>
            <w:spacing w:after="165"/>
            <w:ind w:left="0" w:firstLine="709"/>
            <w:jc w:val="both"/>
          </w:pPr>
          <w:r w:rsidRPr="00F22BA2">
            <w:t xml:space="preserve">Regulatora ieskatā, ir nepieciešams precizēt </w:t>
          </w:r>
          <w:r w:rsidRPr="00BF350D">
            <w:t>normas attiecībā uz elektrostaciju vai komersantu apvienošanu, nododot tiesības uz valsts atbalstu vienai apvienojošai elektrostacijai, lai nodrošinātu, ka apvienošanas rezultātā kāda no elektrostacijām vai komersantiem nesaņem ilgāku atbalstu nekā tas būtu gadījumā, ja apvienošana nenotiktu. Turklāt Noteikumu projektā būtu jābūt ietvertam arī regulējumam, kas šobrīd ir tikai anotācijā kā paskaidrojums: “ņ</w:t>
          </w:r>
          <w:r w:rsidRPr="00BF350D">
            <w:rPr>
              <w:shd w:val="clear" w:color="auto" w:fill="FFFFFF"/>
            </w:rPr>
            <w:t xml:space="preserve">emot vērā, ka obligātā iepirkuma tiesības un garantētās maksas tiesības tiek piešķirtas ne ilgāk kā līdz elektrostacijas pamatlīdzekļu pilnam nolietojumam saskaņā ar normatīvajiem aktiem par grāmatvedības prasībām, apvienošanas gadījumā, ja </w:t>
          </w:r>
          <w:r w:rsidRPr="00BF350D">
            <w:t>kādai no apvienotās stacijas daļām ir pamatlīdzekļu pilns nolietojums, tad OI maksājumu par šo stacijas daļu pārtrauc”</w:t>
          </w:r>
          <w:r w:rsidR="00317ADF">
            <w:t>.</w:t>
          </w:r>
          <w:r>
            <w:t xml:space="preserve">  </w:t>
          </w:r>
          <w:r w:rsidR="00317ADF">
            <w:t xml:space="preserve">Tāpat </w:t>
          </w:r>
          <w:r>
            <w:lastRenderedPageBreak/>
            <w:t>Noteikumu projektā būtu jāietver anotācijā ietvertais aprēķina princips</w:t>
          </w:r>
          <w:r w:rsidR="00317ADF">
            <w:t>, ka</w:t>
          </w:r>
          <w:r>
            <w:t xml:space="preserve"> “š</w:t>
          </w:r>
          <w:r w:rsidRPr="00F175F4">
            <w:t>o aprēķinu veic atbilstoši tiem termiņiem un elektroenerģijas apjomam, kāds piešķirts katrai no elektrostacijām, kuras tiek apvienotas</w:t>
          </w:r>
          <w:r>
            <w:t>”.</w:t>
          </w:r>
        </w:p>
      </w:sdtContent>
    </w:sd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360" w:type="dxa"/>
          <w:left w:w="0" w:type="dxa"/>
          <w:right w:w="0" w:type="dxa"/>
        </w:tblCellMar>
        <w:tblLook w:val="04A0" w:firstRow="1" w:lastRow="0" w:firstColumn="1" w:lastColumn="0" w:noHBand="0" w:noVBand="1"/>
      </w:tblPr>
      <w:tblGrid>
        <w:gridCol w:w="4656"/>
        <w:gridCol w:w="4653"/>
      </w:tblGrid>
      <w:tr w:rsidR="00825EB0" w14:paraId="495F58F4" w14:textId="77777777" w:rsidTr="00423A9A">
        <w:tc>
          <w:tcPr>
            <w:tcW w:w="4675" w:type="dxa"/>
          </w:tcPr>
          <w:p w14:paraId="5236190D" w14:textId="6EB1A265" w:rsidR="00825EB0" w:rsidRPr="005E07A4" w:rsidRDefault="005E07A4" w:rsidP="00921DC7">
            <w:pPr>
              <w:jc w:val="left"/>
              <w:rPr>
                <w:rFonts w:eastAsia="Times New Roman" w:cs="Times New Roman"/>
                <w:szCs w:val="24"/>
                <w:lang w:eastAsia="lv-LV"/>
              </w:rPr>
            </w:pPr>
            <w:r w:rsidRPr="005E07A4">
              <w:rPr>
                <w:rFonts w:eastAsia="Times New Roman" w:cs="Times New Roman"/>
                <w:szCs w:val="24"/>
                <w:lang w:eastAsia="lv-LV"/>
              </w:rPr>
              <w:t xml:space="preserve">Priekšsēdētāja </w:t>
            </w:r>
            <w:proofErr w:type="spellStart"/>
            <w:r w:rsidRPr="005E07A4">
              <w:rPr>
                <w:rFonts w:eastAsia="Times New Roman" w:cs="Times New Roman"/>
                <w:szCs w:val="24"/>
                <w:lang w:eastAsia="lv-LV"/>
              </w:rPr>
              <w:t>p.i</w:t>
            </w:r>
            <w:proofErr w:type="spellEnd"/>
            <w:r w:rsidRPr="005E07A4">
              <w:rPr>
                <w:rFonts w:eastAsia="Times New Roman" w:cs="Times New Roman"/>
                <w:szCs w:val="24"/>
                <w:lang w:eastAsia="lv-LV"/>
              </w:rPr>
              <w:t>. padomes loceklis</w:t>
            </w:r>
          </w:p>
        </w:tc>
        <w:tc>
          <w:tcPr>
            <w:tcW w:w="4675" w:type="dxa"/>
          </w:tcPr>
          <w:p w14:paraId="006BF9EB" w14:textId="6F7B785C" w:rsidR="00825EB0" w:rsidRDefault="005E07A4" w:rsidP="00D52315">
            <w:pPr>
              <w:jc w:val="right"/>
            </w:pPr>
            <w:r w:rsidRPr="005E07A4">
              <w:t>I. Birziņš</w:t>
            </w:r>
          </w:p>
        </w:tc>
      </w:tr>
    </w:tbl>
    <w:p w14:paraId="69E46567" w14:textId="47CBC7E5" w:rsidR="00825EB0" w:rsidRPr="009A25FB" w:rsidRDefault="00825EB0" w:rsidP="00825EB0">
      <w:pPr>
        <w:spacing w:before="240" w:after="240"/>
        <w:rPr>
          <w:rStyle w:val="Style3TimesNewRoman12"/>
          <w:color w:val="757679"/>
          <w:spacing w:val="6"/>
          <w:sz w:val="20"/>
          <w:szCs w:val="20"/>
        </w:rPr>
      </w:pPr>
      <w:r w:rsidRPr="009A25FB">
        <w:rPr>
          <w:rStyle w:val="Style3TimesNewRoman12"/>
          <w:color w:val="757679"/>
          <w:spacing w:val="6"/>
          <w:sz w:val="20"/>
          <w:szCs w:val="20"/>
        </w:rPr>
        <w:t>DOKUMENTS PARAKSTĪTS AR DROŠU ELEKTRONISKO PARAKSTU UN SATUR LAIKA ZĪMOGU</w:t>
      </w:r>
    </w:p>
    <w:p w14:paraId="78FE15DA" w14:textId="2E3EFED4" w:rsidR="002C4276" w:rsidRPr="0053699C" w:rsidRDefault="005E07A4" w:rsidP="0053699C">
      <w:pPr>
        <w:jc w:val="left"/>
        <w:rPr>
          <w:sz w:val="20"/>
          <w:szCs w:val="20"/>
        </w:rPr>
      </w:pPr>
      <w:r w:rsidRPr="005E07A4">
        <w:rPr>
          <w:sz w:val="20"/>
          <w:szCs w:val="20"/>
        </w:rPr>
        <w:t>Bite, 67097231</w:t>
      </w:r>
    </w:p>
    <w:sectPr w:rsidR="002C4276" w:rsidRPr="0053699C" w:rsidSect="00444A3C">
      <w:headerReference w:type="even" r:id="rId12"/>
      <w:headerReference w:type="default" r:id="rId13"/>
      <w:footerReference w:type="default" r:id="rId14"/>
      <w:headerReference w:type="first" r:id="rId15"/>
      <w:type w:val="continuous"/>
      <w:pgSz w:w="12240" w:h="15840"/>
      <w:pgMar w:top="1440" w:right="1134" w:bottom="1440" w:left="1797"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826B3B" w14:textId="77777777" w:rsidR="00596EA0" w:rsidRDefault="00596EA0" w:rsidP="00825EB0">
      <w:r>
        <w:separator/>
      </w:r>
    </w:p>
  </w:endnote>
  <w:endnote w:type="continuationSeparator" w:id="0">
    <w:p w14:paraId="5ADD1C84" w14:textId="77777777" w:rsidR="00596EA0" w:rsidRDefault="00596EA0" w:rsidP="00825EB0">
      <w:r>
        <w:continuationSeparator/>
      </w:r>
    </w:p>
  </w:endnote>
  <w:endnote w:type="continuationNotice" w:id="1">
    <w:p w14:paraId="46470106" w14:textId="77777777" w:rsidR="00596EA0" w:rsidRDefault="00596E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531EAB" w14:textId="77777777" w:rsidR="002C4276" w:rsidRDefault="002C4276" w:rsidP="00063A98">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4167218"/>
      <w:docPartObj>
        <w:docPartGallery w:val="Page Numbers (Bottom of Page)"/>
        <w:docPartUnique/>
      </w:docPartObj>
    </w:sdtPr>
    <w:sdtEndPr>
      <w:rPr>
        <w:noProof/>
      </w:rPr>
    </w:sdtEndPr>
    <w:sdtContent>
      <w:p w14:paraId="499F292B" w14:textId="62BE8D00" w:rsidR="00063A98" w:rsidRDefault="00063A98" w:rsidP="00063A98">
        <w:pPr>
          <w:pStyle w:val="Footer"/>
          <w:jc w:val="center"/>
        </w:pPr>
        <w:r>
          <w:fldChar w:fldCharType="begin"/>
        </w:r>
        <w:r>
          <w:instrText xml:space="preserve"> PAGE   \* MERGEFORMAT </w:instrText>
        </w:r>
        <w:r>
          <w:fldChar w:fldCharType="separate"/>
        </w:r>
        <w:r w:rsidR="00C05D0B">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FCA168" w14:textId="77777777" w:rsidR="00596EA0" w:rsidRDefault="00596EA0" w:rsidP="00825EB0">
      <w:r>
        <w:separator/>
      </w:r>
    </w:p>
  </w:footnote>
  <w:footnote w:type="continuationSeparator" w:id="0">
    <w:p w14:paraId="429233CC" w14:textId="77777777" w:rsidR="00596EA0" w:rsidRDefault="00596EA0" w:rsidP="00825EB0">
      <w:r>
        <w:continuationSeparator/>
      </w:r>
    </w:p>
  </w:footnote>
  <w:footnote w:type="continuationNotice" w:id="1">
    <w:p w14:paraId="2EAE95EA" w14:textId="77777777" w:rsidR="00596EA0" w:rsidRDefault="00596EA0"/>
  </w:footnote>
  <w:footnote w:id="2">
    <w:p w14:paraId="53B01FCC" w14:textId="77777777" w:rsidR="003766E8" w:rsidRPr="009873A3" w:rsidRDefault="003766E8" w:rsidP="003766E8">
      <w:pPr>
        <w:pStyle w:val="FootnoteText"/>
        <w:jc w:val="both"/>
      </w:pPr>
      <w:r>
        <w:rPr>
          <w:rStyle w:val="FootnoteReference"/>
        </w:rPr>
        <w:footnoteRef/>
      </w:r>
      <w:r>
        <w:t xml:space="preserve"> </w:t>
      </w:r>
      <w:r w:rsidRPr="009873A3">
        <w:t>56.</w:t>
      </w:r>
      <w:r w:rsidRPr="009873A3">
        <w:rPr>
          <w:vertAlign w:val="superscript"/>
        </w:rPr>
        <w:t>1</w:t>
      </w:r>
      <w:r w:rsidRPr="009873A3">
        <w:t> Ja elektroenerģijas ražotājs par koģenerācijas staciju ar jaudu, kas nepārsniedz 4 MW, izmanto tiesības, kas piešķirtas saskaņā ar Elektroenerģijas tirgus likuma 28. pantu, piecus pilnus kalendāra gadus, ieskaitot gadu, par kuru tiek iesniegts šo noteikumu 40. punktā minētais pārskats, un komersants nav iesniedzis šo noteikumu 56.</w:t>
      </w:r>
      <w:r w:rsidRPr="009873A3">
        <w:rPr>
          <w:vertAlign w:val="superscript"/>
        </w:rPr>
        <w:t>3 </w:t>
      </w:r>
      <w:r w:rsidRPr="009873A3">
        <w:t>punktā minēto aprēķinu, birojs divu mēnešu laikā pēc minētā pārskata saņemšanas veic aprēķinu par elektrostacijas kopējo kapitālieguldījumu iekšējo peļņas normu visam atbalsta periodam saskaņā ar šo noteikumu 8. pielikumu.</w:t>
      </w:r>
    </w:p>
    <w:p w14:paraId="26C0C8F3" w14:textId="77777777" w:rsidR="003766E8" w:rsidRDefault="003766E8" w:rsidP="003766E8">
      <w:pPr>
        <w:pStyle w:val="FootnoteText"/>
        <w:jc w:val="both"/>
      </w:pPr>
      <w:r w:rsidRPr="009873A3">
        <w:t>56.</w:t>
      </w:r>
      <w:r w:rsidRPr="009873A3">
        <w:rPr>
          <w:vertAlign w:val="superscript"/>
        </w:rPr>
        <w:t>9</w:t>
      </w:r>
      <w:r w:rsidRPr="009873A3">
        <w:t> Ja elektroenerģijas ražotājs par koģenerācijas staciju ar jaudu, kas pārsniedz 4 MW, izmanto tiesības, kas piešķirtas saskaņā ar Elektroenerģijas tirgus likuma 28. vai 28.</w:t>
      </w:r>
      <w:r w:rsidRPr="009873A3">
        <w:rPr>
          <w:vertAlign w:val="superscript"/>
        </w:rPr>
        <w:t>1 </w:t>
      </w:r>
      <w:r w:rsidRPr="009873A3">
        <w:t>pantu, astoņus vai trīspadsmit pilnus kalendāra gadus, ieskaitot gadu, par kuru tiek iesniegts šo noteikumu 40. punktā minētais pārskats, pārskatam pievieno zvērināta revidenta apstiprinātu aprēķinu par elektrostacijas kopējo kapitālieguldījumu iekšējo peļņas normu visam atbalsta periodam, kas veikts atbilstoši šo noteikumu 8. pielikumam.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99"/>
    </w:tblGrid>
    <w:tr w:rsidR="00A07757" w14:paraId="133E2AF2" w14:textId="77777777" w:rsidTr="00E3544A">
      <w:tc>
        <w:tcPr>
          <w:tcW w:w="9299" w:type="dxa"/>
        </w:tcPr>
        <w:p w14:paraId="3F113C2C" w14:textId="38F4FC74" w:rsidR="00A07757" w:rsidRDefault="00A07757" w:rsidP="00A07757">
          <w:pPr>
            <w:pStyle w:val="Header"/>
            <w:jc w:val="center"/>
          </w:pPr>
          <w:r>
            <w:rPr>
              <w:noProof/>
              <w:lang w:val="en-US"/>
            </w:rPr>
            <w:drawing>
              <wp:inline distT="0" distB="0" distL="0" distR="0" wp14:anchorId="372248FF" wp14:editId="5B13E327">
                <wp:extent cx="1630800" cy="1317600"/>
                <wp:effectExtent l="0" t="0" r="762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G_liels_vienkarsots_vienkrasu.jpg"/>
                        <pic:cNvPicPr/>
                      </pic:nvPicPr>
                      <pic:blipFill>
                        <a:blip r:embed="rId1">
                          <a:extLst>
                            <a:ext uri="{28A0092B-C50C-407E-A947-70E740481C1C}">
                              <a14:useLocalDpi xmlns:a14="http://schemas.microsoft.com/office/drawing/2010/main" val="0"/>
                            </a:ext>
                          </a:extLst>
                        </a:blip>
                        <a:stretch>
                          <a:fillRect/>
                        </a:stretch>
                      </pic:blipFill>
                      <pic:spPr>
                        <a:xfrm>
                          <a:off x="0" y="0"/>
                          <a:ext cx="1630800" cy="1317600"/>
                        </a:xfrm>
                        <a:prstGeom prst="rect">
                          <a:avLst/>
                        </a:prstGeom>
                      </pic:spPr>
                    </pic:pic>
                  </a:graphicData>
                </a:graphic>
              </wp:inline>
            </w:drawing>
          </w:r>
        </w:p>
      </w:tc>
    </w:tr>
  </w:tbl>
  <w:p w14:paraId="09EFF490" w14:textId="270049F5" w:rsidR="00825EB0" w:rsidRPr="00897615" w:rsidRDefault="00825EB0" w:rsidP="00E3544A">
    <w:pPr>
      <w:pStyle w:val="Header"/>
      <w:tabs>
        <w:tab w:val="center" w:pos="4536"/>
        <w:tab w:val="right" w:pos="8505"/>
      </w:tabs>
      <w:spacing w:after="40"/>
      <w:jc w:val="center"/>
      <w:rPr>
        <w:rFonts w:cs="Times New Roman"/>
        <w:b/>
        <w:sz w:val="32"/>
        <w:szCs w:val="32"/>
      </w:rPr>
    </w:pPr>
    <w:r w:rsidRPr="00897615">
      <w:rPr>
        <w:rFonts w:cs="Times New Roman"/>
        <w:b/>
        <w:sz w:val="32"/>
        <w:szCs w:val="32"/>
      </w:rPr>
      <w:t>SABIEDRISKO PAKALPOJUMU REGULĒŠANAS</w:t>
    </w:r>
    <w:r>
      <w:rPr>
        <w:rFonts w:cs="Times New Roman"/>
        <w:b/>
        <w:sz w:val="32"/>
        <w:szCs w:val="32"/>
      </w:rPr>
      <w:t xml:space="preserve"> </w:t>
    </w:r>
    <w:r w:rsidRPr="00897615">
      <w:rPr>
        <w:rFonts w:cs="Times New Roman"/>
        <w:b/>
        <w:sz w:val="32"/>
        <w:szCs w:val="32"/>
      </w:rPr>
      <w:t>KOMISIJA</w:t>
    </w:r>
  </w:p>
  <w:p w14:paraId="5585F8AD" w14:textId="30D9ABAD" w:rsidR="00825EB0" w:rsidRPr="00403F68" w:rsidRDefault="00981421" w:rsidP="00825EB0">
    <w:pPr>
      <w:pStyle w:val="Header"/>
      <w:pBdr>
        <w:bottom w:val="double" w:sz="6" w:space="3" w:color="auto"/>
      </w:pBdr>
      <w:tabs>
        <w:tab w:val="center" w:pos="4536"/>
      </w:tabs>
      <w:jc w:val="center"/>
      <w:rPr>
        <w:rFonts w:cs="Times New Roman"/>
        <w:sz w:val="20"/>
        <w:szCs w:val="20"/>
      </w:rPr>
    </w:pPr>
    <w:r>
      <w:rPr>
        <w:sz w:val="20"/>
      </w:rPr>
      <w:t>Ūnijas iela 45, Rīga, LV-1039 │ tālrunis 67097200 │ fakss 67097277 │ e-pasts sprk@sprk.gov.lv</w:t>
    </w:r>
  </w:p>
  <w:p w14:paraId="0FA1DFD0" w14:textId="77777777" w:rsidR="00825EB0" w:rsidRPr="00825EB0" w:rsidRDefault="00825EB0" w:rsidP="00825EB0">
    <w:pPr>
      <w:pStyle w:val="Header"/>
      <w:jc w:val="center"/>
      <w:rPr>
        <w:rFonts w:cs="Times New Roman"/>
        <w:spacing w:val="20"/>
        <w:szCs w:val="24"/>
      </w:rPr>
    </w:pPr>
    <w:r>
      <w:rPr>
        <w:rFonts w:cs="Times New Roman"/>
        <w:spacing w:val="20"/>
        <w:szCs w:val="24"/>
      </w:rPr>
      <w:t>Rīgā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29F96C" w14:textId="1F574310" w:rsidR="00B84113" w:rsidRDefault="00B8411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67D068" w14:textId="71B481AB" w:rsidR="00063A98" w:rsidRPr="00063A98" w:rsidRDefault="00063A98" w:rsidP="00063A9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57EE6C" w14:textId="5121F8EB" w:rsidR="00B84113" w:rsidRDefault="00B841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645CF0"/>
    <w:multiLevelType w:val="hybridMultilevel"/>
    <w:tmpl w:val="D10A1AEE"/>
    <w:lvl w:ilvl="0" w:tplc="1FA8CCD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EB0"/>
    <w:rsid w:val="00005126"/>
    <w:rsid w:val="00017D87"/>
    <w:rsid w:val="00063A98"/>
    <w:rsid w:val="000A1DD3"/>
    <w:rsid w:val="000A6E76"/>
    <w:rsid w:val="000C0AE0"/>
    <w:rsid w:val="00101B5D"/>
    <w:rsid w:val="00112E66"/>
    <w:rsid w:val="00140FBC"/>
    <w:rsid w:val="00157F8C"/>
    <w:rsid w:val="001671BA"/>
    <w:rsid w:val="00170586"/>
    <w:rsid w:val="0017272B"/>
    <w:rsid w:val="001730F4"/>
    <w:rsid w:val="00182256"/>
    <w:rsid w:val="00194F34"/>
    <w:rsid w:val="001A4510"/>
    <w:rsid w:val="001B32A8"/>
    <w:rsid w:val="001C0203"/>
    <w:rsid w:val="001C7209"/>
    <w:rsid w:val="001D1A37"/>
    <w:rsid w:val="001E2384"/>
    <w:rsid w:val="00224D45"/>
    <w:rsid w:val="00225FDA"/>
    <w:rsid w:val="0023061F"/>
    <w:rsid w:val="0027701D"/>
    <w:rsid w:val="002A04DA"/>
    <w:rsid w:val="002A4CB2"/>
    <w:rsid w:val="002C338F"/>
    <w:rsid w:val="002C3E71"/>
    <w:rsid w:val="002C4276"/>
    <w:rsid w:val="00317ADF"/>
    <w:rsid w:val="00331837"/>
    <w:rsid w:val="00343D19"/>
    <w:rsid w:val="00357778"/>
    <w:rsid w:val="003764C9"/>
    <w:rsid w:val="003766E8"/>
    <w:rsid w:val="00384A08"/>
    <w:rsid w:val="003866AF"/>
    <w:rsid w:val="003E4BE2"/>
    <w:rsid w:val="0040097B"/>
    <w:rsid w:val="00423A9A"/>
    <w:rsid w:val="00444A3C"/>
    <w:rsid w:val="00457C3F"/>
    <w:rsid w:val="004834DB"/>
    <w:rsid w:val="004B020A"/>
    <w:rsid w:val="004C3A56"/>
    <w:rsid w:val="004D6FDA"/>
    <w:rsid w:val="0053699C"/>
    <w:rsid w:val="00537D34"/>
    <w:rsid w:val="00546744"/>
    <w:rsid w:val="00580FB3"/>
    <w:rsid w:val="00596EA0"/>
    <w:rsid w:val="005A4DB4"/>
    <w:rsid w:val="005B03D7"/>
    <w:rsid w:val="005D12DF"/>
    <w:rsid w:val="005E07A4"/>
    <w:rsid w:val="00655E8D"/>
    <w:rsid w:val="00660B63"/>
    <w:rsid w:val="0066310A"/>
    <w:rsid w:val="006709B1"/>
    <w:rsid w:val="00680D0D"/>
    <w:rsid w:val="00682D67"/>
    <w:rsid w:val="00684E14"/>
    <w:rsid w:val="006D39D9"/>
    <w:rsid w:val="006E31E5"/>
    <w:rsid w:val="007304FF"/>
    <w:rsid w:val="00737C41"/>
    <w:rsid w:val="007403BC"/>
    <w:rsid w:val="0074736E"/>
    <w:rsid w:val="007515B8"/>
    <w:rsid w:val="00773323"/>
    <w:rsid w:val="007A70AC"/>
    <w:rsid w:val="007C0334"/>
    <w:rsid w:val="007F38FC"/>
    <w:rsid w:val="00825EB0"/>
    <w:rsid w:val="00836CB5"/>
    <w:rsid w:val="008513C5"/>
    <w:rsid w:val="00871AC2"/>
    <w:rsid w:val="00895716"/>
    <w:rsid w:val="00921DC7"/>
    <w:rsid w:val="009326CA"/>
    <w:rsid w:val="00971FEB"/>
    <w:rsid w:val="00981421"/>
    <w:rsid w:val="00994D7A"/>
    <w:rsid w:val="009A25FB"/>
    <w:rsid w:val="009C1E40"/>
    <w:rsid w:val="009C3FF7"/>
    <w:rsid w:val="009D072A"/>
    <w:rsid w:val="009D3A99"/>
    <w:rsid w:val="009F2022"/>
    <w:rsid w:val="00A00CE7"/>
    <w:rsid w:val="00A07757"/>
    <w:rsid w:val="00A36226"/>
    <w:rsid w:val="00A81E95"/>
    <w:rsid w:val="00AA4483"/>
    <w:rsid w:val="00AE380A"/>
    <w:rsid w:val="00B00FC0"/>
    <w:rsid w:val="00B0404A"/>
    <w:rsid w:val="00B0700E"/>
    <w:rsid w:val="00B24B51"/>
    <w:rsid w:val="00B3793D"/>
    <w:rsid w:val="00B549D0"/>
    <w:rsid w:val="00B84113"/>
    <w:rsid w:val="00B944D8"/>
    <w:rsid w:val="00BD0AB0"/>
    <w:rsid w:val="00BE222B"/>
    <w:rsid w:val="00C05D0B"/>
    <w:rsid w:val="00C1186B"/>
    <w:rsid w:val="00C122E2"/>
    <w:rsid w:val="00C2731A"/>
    <w:rsid w:val="00C55CAE"/>
    <w:rsid w:val="00C613A7"/>
    <w:rsid w:val="00C61852"/>
    <w:rsid w:val="00C636A1"/>
    <w:rsid w:val="00C6689D"/>
    <w:rsid w:val="00C750F1"/>
    <w:rsid w:val="00C810D0"/>
    <w:rsid w:val="00C97CC9"/>
    <w:rsid w:val="00CB624C"/>
    <w:rsid w:val="00CD2308"/>
    <w:rsid w:val="00CD7E23"/>
    <w:rsid w:val="00D22148"/>
    <w:rsid w:val="00D511C5"/>
    <w:rsid w:val="00D52315"/>
    <w:rsid w:val="00D75941"/>
    <w:rsid w:val="00D90D5D"/>
    <w:rsid w:val="00D96D13"/>
    <w:rsid w:val="00DF3455"/>
    <w:rsid w:val="00DF5233"/>
    <w:rsid w:val="00E05B92"/>
    <w:rsid w:val="00E3544A"/>
    <w:rsid w:val="00E72B1E"/>
    <w:rsid w:val="00E7596D"/>
    <w:rsid w:val="00EB28B8"/>
    <w:rsid w:val="00EC2F8E"/>
    <w:rsid w:val="00EE439F"/>
    <w:rsid w:val="00EF72CA"/>
    <w:rsid w:val="00F22909"/>
    <w:rsid w:val="00F4142A"/>
    <w:rsid w:val="00F41869"/>
    <w:rsid w:val="00F72CA1"/>
    <w:rsid w:val="00F74B22"/>
    <w:rsid w:val="00F81CDB"/>
    <w:rsid w:val="00FC54B4"/>
    <w:rsid w:val="00FC6342"/>
    <w:rsid w:val="00FD6AA7"/>
    <w:rsid w:val="00FD7DB6"/>
    <w:rsid w:val="00FF4D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DB39DA"/>
  <w15:chartTrackingRefBased/>
  <w15:docId w15:val="{42481815-801A-4D80-8499-4BAF0C02C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2909"/>
    <w:pPr>
      <w:spacing w:after="0" w:line="240" w:lineRule="auto"/>
      <w:jc w:val="both"/>
    </w:pPr>
    <w:rPr>
      <w:rFonts w:ascii="Times New Roman" w:hAnsi="Times New Roman"/>
      <w:sz w:val="24"/>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yle3TimesNewRoman12">
    <w:name w:val="Style3TimesNewRoman12"/>
    <w:basedOn w:val="DefaultParagraphFont"/>
    <w:uiPriority w:val="1"/>
    <w:qFormat/>
    <w:rsid w:val="00B0404A"/>
    <w:rPr>
      <w:rFonts w:ascii="Times New Roman" w:hAnsi="Times New Roman"/>
      <w:b w:val="0"/>
      <w:i w:val="0"/>
      <w:color w:val="auto"/>
      <w:sz w:val="24"/>
    </w:rPr>
  </w:style>
  <w:style w:type="paragraph" w:styleId="Header">
    <w:name w:val="header"/>
    <w:basedOn w:val="Normal"/>
    <w:link w:val="HeaderChar"/>
    <w:uiPriority w:val="99"/>
    <w:unhideWhenUsed/>
    <w:rsid w:val="00825EB0"/>
    <w:pPr>
      <w:tabs>
        <w:tab w:val="center" w:pos="4680"/>
        <w:tab w:val="right" w:pos="9360"/>
      </w:tabs>
    </w:pPr>
  </w:style>
  <w:style w:type="character" w:customStyle="1" w:styleId="HeaderChar">
    <w:name w:val="Header Char"/>
    <w:basedOn w:val="DefaultParagraphFont"/>
    <w:link w:val="Header"/>
    <w:uiPriority w:val="99"/>
    <w:rsid w:val="00825EB0"/>
    <w:rPr>
      <w:rFonts w:ascii="Times New Roman" w:hAnsi="Times New Roman"/>
      <w:sz w:val="24"/>
      <w:lang w:val="lv-LV"/>
    </w:rPr>
  </w:style>
  <w:style w:type="paragraph" w:styleId="Footer">
    <w:name w:val="footer"/>
    <w:basedOn w:val="Normal"/>
    <w:link w:val="FooterChar"/>
    <w:uiPriority w:val="99"/>
    <w:unhideWhenUsed/>
    <w:rsid w:val="00825EB0"/>
    <w:pPr>
      <w:tabs>
        <w:tab w:val="center" w:pos="4680"/>
        <w:tab w:val="right" w:pos="9360"/>
      </w:tabs>
    </w:pPr>
  </w:style>
  <w:style w:type="character" w:customStyle="1" w:styleId="FooterChar">
    <w:name w:val="Footer Char"/>
    <w:basedOn w:val="DefaultParagraphFont"/>
    <w:link w:val="Footer"/>
    <w:uiPriority w:val="99"/>
    <w:rsid w:val="00825EB0"/>
    <w:rPr>
      <w:rFonts w:ascii="Times New Roman" w:hAnsi="Times New Roman"/>
      <w:sz w:val="24"/>
      <w:lang w:val="lv-LV"/>
    </w:rPr>
  </w:style>
  <w:style w:type="table" w:styleId="TableGrid">
    <w:name w:val="Table Grid"/>
    <w:basedOn w:val="TableNormal"/>
    <w:uiPriority w:val="39"/>
    <w:rsid w:val="00825E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25EB0"/>
    <w:rPr>
      <w:color w:val="808080"/>
    </w:rPr>
  </w:style>
  <w:style w:type="character" w:styleId="Hyperlink">
    <w:name w:val="Hyperlink"/>
    <w:basedOn w:val="DefaultParagraphFont"/>
    <w:uiPriority w:val="99"/>
    <w:unhideWhenUsed/>
    <w:rsid w:val="00C55CAE"/>
    <w:rPr>
      <w:color w:val="0563C1" w:themeColor="hyperlink"/>
      <w:u w:val="single"/>
    </w:rPr>
  </w:style>
  <w:style w:type="character" w:customStyle="1" w:styleId="Neatrisintapieminana1">
    <w:name w:val="Neatrisināta pieminēšana1"/>
    <w:basedOn w:val="DefaultParagraphFont"/>
    <w:uiPriority w:val="99"/>
    <w:semiHidden/>
    <w:unhideWhenUsed/>
    <w:rsid w:val="00C55CAE"/>
    <w:rPr>
      <w:color w:val="808080"/>
      <w:shd w:val="clear" w:color="auto" w:fill="E6E6E6"/>
    </w:rPr>
  </w:style>
  <w:style w:type="paragraph" w:styleId="EnvelopeReturn">
    <w:name w:val="envelope return"/>
    <w:basedOn w:val="Normal"/>
    <w:semiHidden/>
    <w:unhideWhenUsed/>
    <w:rsid w:val="002C338F"/>
    <w:pPr>
      <w:keepLines/>
      <w:spacing w:before="600"/>
      <w:jc w:val="left"/>
    </w:pPr>
    <w:rPr>
      <w:rFonts w:eastAsia="Times New Roman" w:cs="Times New Roman"/>
      <w:sz w:val="26"/>
      <w:szCs w:val="20"/>
    </w:rPr>
  </w:style>
  <w:style w:type="character" w:styleId="CommentReference">
    <w:name w:val="annotation reference"/>
    <w:basedOn w:val="DefaultParagraphFont"/>
    <w:uiPriority w:val="99"/>
    <w:semiHidden/>
    <w:unhideWhenUsed/>
    <w:rsid w:val="003764C9"/>
    <w:rPr>
      <w:sz w:val="16"/>
      <w:szCs w:val="16"/>
    </w:rPr>
  </w:style>
  <w:style w:type="paragraph" w:styleId="CommentText">
    <w:name w:val="annotation text"/>
    <w:basedOn w:val="Normal"/>
    <w:link w:val="CommentTextChar"/>
    <w:uiPriority w:val="99"/>
    <w:semiHidden/>
    <w:unhideWhenUsed/>
    <w:rsid w:val="003764C9"/>
    <w:rPr>
      <w:sz w:val="20"/>
      <w:szCs w:val="20"/>
    </w:rPr>
  </w:style>
  <w:style w:type="character" w:customStyle="1" w:styleId="CommentTextChar">
    <w:name w:val="Comment Text Char"/>
    <w:basedOn w:val="DefaultParagraphFont"/>
    <w:link w:val="CommentText"/>
    <w:uiPriority w:val="99"/>
    <w:semiHidden/>
    <w:rsid w:val="003764C9"/>
    <w:rPr>
      <w:rFonts w:ascii="Times New Roman" w:hAnsi="Times New Roman"/>
      <w:sz w:val="20"/>
      <w:szCs w:val="20"/>
      <w:lang w:val="lv-LV"/>
    </w:rPr>
  </w:style>
  <w:style w:type="paragraph" w:styleId="CommentSubject">
    <w:name w:val="annotation subject"/>
    <w:basedOn w:val="CommentText"/>
    <w:next w:val="CommentText"/>
    <w:link w:val="CommentSubjectChar"/>
    <w:uiPriority w:val="99"/>
    <w:semiHidden/>
    <w:unhideWhenUsed/>
    <w:rsid w:val="003764C9"/>
    <w:rPr>
      <w:b/>
      <w:bCs/>
    </w:rPr>
  </w:style>
  <w:style w:type="character" w:customStyle="1" w:styleId="CommentSubjectChar">
    <w:name w:val="Comment Subject Char"/>
    <w:basedOn w:val="CommentTextChar"/>
    <w:link w:val="CommentSubject"/>
    <w:uiPriority w:val="99"/>
    <w:semiHidden/>
    <w:rsid w:val="003764C9"/>
    <w:rPr>
      <w:rFonts w:ascii="Times New Roman" w:hAnsi="Times New Roman"/>
      <w:b/>
      <w:bCs/>
      <w:sz w:val="20"/>
      <w:szCs w:val="20"/>
      <w:lang w:val="lv-LV"/>
    </w:rPr>
  </w:style>
  <w:style w:type="paragraph" w:styleId="BalloonText">
    <w:name w:val="Balloon Text"/>
    <w:basedOn w:val="Normal"/>
    <w:link w:val="BalloonTextChar"/>
    <w:uiPriority w:val="99"/>
    <w:semiHidden/>
    <w:unhideWhenUsed/>
    <w:rsid w:val="003764C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64C9"/>
    <w:rPr>
      <w:rFonts w:ascii="Segoe UI" w:hAnsi="Segoe UI" w:cs="Segoe UI"/>
      <w:sz w:val="18"/>
      <w:szCs w:val="18"/>
      <w:lang w:val="lv-LV"/>
    </w:rPr>
  </w:style>
  <w:style w:type="paragraph" w:styleId="ListParagraph">
    <w:name w:val="List Paragraph"/>
    <w:basedOn w:val="Normal"/>
    <w:uiPriority w:val="34"/>
    <w:qFormat/>
    <w:rsid w:val="003766E8"/>
    <w:pPr>
      <w:ind w:left="720"/>
      <w:contextualSpacing/>
      <w:jc w:val="left"/>
    </w:pPr>
    <w:rPr>
      <w:rFonts w:eastAsia="Times New Roman" w:cs="Times New Roman"/>
      <w:szCs w:val="24"/>
      <w:lang w:eastAsia="lv-LV"/>
    </w:rPr>
  </w:style>
  <w:style w:type="paragraph" w:styleId="FootnoteText">
    <w:name w:val="footnote text"/>
    <w:basedOn w:val="Normal"/>
    <w:link w:val="FootnoteTextChar"/>
    <w:uiPriority w:val="99"/>
    <w:semiHidden/>
    <w:unhideWhenUsed/>
    <w:rsid w:val="003766E8"/>
    <w:pPr>
      <w:jc w:val="left"/>
    </w:pPr>
    <w:rPr>
      <w:rFonts w:eastAsia="Times New Roman" w:cs="Times New Roman"/>
      <w:sz w:val="20"/>
      <w:szCs w:val="20"/>
      <w:lang w:eastAsia="lv-LV"/>
    </w:rPr>
  </w:style>
  <w:style w:type="character" w:customStyle="1" w:styleId="FootnoteTextChar">
    <w:name w:val="Footnote Text Char"/>
    <w:basedOn w:val="DefaultParagraphFont"/>
    <w:link w:val="FootnoteText"/>
    <w:uiPriority w:val="99"/>
    <w:semiHidden/>
    <w:rsid w:val="003766E8"/>
    <w:rPr>
      <w:rFonts w:ascii="Times New Roman" w:eastAsia="Times New Roman" w:hAnsi="Times New Roman" w:cs="Times New Roman"/>
      <w:sz w:val="20"/>
      <w:szCs w:val="20"/>
      <w:lang w:val="lv-LV" w:eastAsia="lv-LV"/>
    </w:rPr>
  </w:style>
  <w:style w:type="character" w:styleId="FootnoteReference">
    <w:name w:val="footnote reference"/>
    <w:basedOn w:val="DefaultParagraphFont"/>
    <w:uiPriority w:val="99"/>
    <w:semiHidden/>
    <w:unhideWhenUsed/>
    <w:rsid w:val="003766E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3098072">
      <w:bodyDiv w:val="1"/>
      <w:marLeft w:val="0"/>
      <w:marRight w:val="0"/>
      <w:marTop w:val="0"/>
      <w:marBottom w:val="0"/>
      <w:divBdr>
        <w:top w:val="none" w:sz="0" w:space="0" w:color="auto"/>
        <w:left w:val="none" w:sz="0" w:space="0" w:color="auto"/>
        <w:bottom w:val="none" w:sz="0" w:space="0" w:color="auto"/>
        <w:right w:val="none" w:sz="0" w:space="0" w:color="auto"/>
      </w:divBdr>
      <w:divsChild>
        <w:div w:id="1736780216">
          <w:marLeft w:val="0"/>
          <w:marRight w:val="0"/>
          <w:marTop w:val="0"/>
          <w:marBottom w:val="0"/>
          <w:divBdr>
            <w:top w:val="none" w:sz="0" w:space="0" w:color="auto"/>
            <w:left w:val="none" w:sz="0" w:space="0" w:color="auto"/>
            <w:bottom w:val="none" w:sz="0" w:space="0" w:color="auto"/>
            <w:right w:val="none" w:sz="0" w:space="0" w:color="auto"/>
          </w:divBdr>
        </w:div>
      </w:divsChild>
    </w:div>
    <w:div w:id="562837453">
      <w:bodyDiv w:val="1"/>
      <w:marLeft w:val="0"/>
      <w:marRight w:val="0"/>
      <w:marTop w:val="0"/>
      <w:marBottom w:val="0"/>
      <w:divBdr>
        <w:top w:val="none" w:sz="0" w:space="0" w:color="auto"/>
        <w:left w:val="none" w:sz="0" w:space="0" w:color="auto"/>
        <w:bottom w:val="none" w:sz="0" w:space="0" w:color="auto"/>
        <w:right w:val="none" w:sz="0" w:space="0" w:color="auto"/>
      </w:divBdr>
      <w:divsChild>
        <w:div w:id="1019552805">
          <w:marLeft w:val="0"/>
          <w:marRight w:val="0"/>
          <w:marTop w:val="0"/>
          <w:marBottom w:val="0"/>
          <w:divBdr>
            <w:top w:val="none" w:sz="0" w:space="0" w:color="auto"/>
            <w:left w:val="none" w:sz="0" w:space="0" w:color="auto"/>
            <w:bottom w:val="none" w:sz="0" w:space="0" w:color="auto"/>
            <w:right w:val="none" w:sz="0" w:space="0" w:color="auto"/>
          </w:divBdr>
        </w:div>
      </w:divsChild>
    </w:div>
    <w:div w:id="720788667">
      <w:bodyDiv w:val="1"/>
      <w:marLeft w:val="0"/>
      <w:marRight w:val="0"/>
      <w:marTop w:val="0"/>
      <w:marBottom w:val="0"/>
      <w:divBdr>
        <w:top w:val="none" w:sz="0" w:space="0" w:color="auto"/>
        <w:left w:val="none" w:sz="0" w:space="0" w:color="auto"/>
        <w:bottom w:val="none" w:sz="0" w:space="0" w:color="auto"/>
        <w:right w:val="none" w:sz="0" w:space="0" w:color="auto"/>
      </w:divBdr>
    </w:div>
    <w:div w:id="1501042506">
      <w:bodyDiv w:val="1"/>
      <w:marLeft w:val="0"/>
      <w:marRight w:val="0"/>
      <w:marTop w:val="0"/>
      <w:marBottom w:val="0"/>
      <w:divBdr>
        <w:top w:val="none" w:sz="0" w:space="0" w:color="auto"/>
        <w:left w:val="none" w:sz="0" w:space="0" w:color="auto"/>
        <w:bottom w:val="none" w:sz="0" w:space="0" w:color="auto"/>
        <w:right w:val="none" w:sz="0" w:space="0" w:color="auto"/>
      </w:divBdr>
      <w:divsChild>
        <w:div w:id="1922982371">
          <w:marLeft w:val="0"/>
          <w:marRight w:val="0"/>
          <w:marTop w:val="0"/>
          <w:marBottom w:val="0"/>
          <w:divBdr>
            <w:top w:val="none" w:sz="0" w:space="0" w:color="auto"/>
            <w:left w:val="none" w:sz="0" w:space="0" w:color="auto"/>
            <w:bottom w:val="none" w:sz="0" w:space="0" w:color="auto"/>
            <w:right w:val="none" w:sz="0" w:space="0" w:color="auto"/>
          </w:divBdr>
        </w:div>
      </w:divsChild>
    </w:div>
    <w:div w:id="2146966828">
      <w:bodyDiv w:val="1"/>
      <w:marLeft w:val="0"/>
      <w:marRight w:val="0"/>
      <w:marTop w:val="0"/>
      <w:marBottom w:val="0"/>
      <w:divBdr>
        <w:top w:val="none" w:sz="0" w:space="0" w:color="auto"/>
        <w:left w:val="none" w:sz="0" w:space="0" w:color="auto"/>
        <w:bottom w:val="none" w:sz="0" w:space="0" w:color="auto"/>
        <w:right w:val="none" w:sz="0" w:space="0" w:color="auto"/>
      </w:divBdr>
      <w:divsChild>
        <w:div w:id="13697211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eader" Target="header4.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21BF0A9295242A588FE7A27C0C362B8"/>
        <w:category>
          <w:name w:val="General"/>
          <w:gallery w:val="placeholder"/>
        </w:category>
        <w:types>
          <w:type w:val="bbPlcHdr"/>
        </w:types>
        <w:behaviors>
          <w:behavior w:val="content"/>
        </w:behaviors>
        <w:guid w:val="{0D5E841C-850E-4FBA-8679-7BA8674758B3}"/>
      </w:docPartPr>
      <w:docPartBody>
        <w:p w:rsidR="00ED4B08" w:rsidRDefault="0062578E" w:rsidP="004E3975">
          <w:pPr>
            <w:pStyle w:val="821BF0A9295242A588FE7A27C0C362B81"/>
          </w:pPr>
          <w:r>
            <w:t>[Dokumenta saturs]</w:t>
          </w:r>
        </w:p>
      </w:docPartBody>
    </w:docPart>
    <w:docPart>
      <w:docPartPr>
        <w:name w:val="8499E561041D406792B965543F5D27B9"/>
        <w:category>
          <w:name w:val="General"/>
          <w:gallery w:val="placeholder"/>
        </w:category>
        <w:types>
          <w:type w:val="bbPlcHdr"/>
        </w:types>
        <w:behaviors>
          <w:behavior w:val="content"/>
        </w:behaviors>
        <w:guid w:val="{63E11E46-62F5-4991-8624-1F2EB0F4C44C}"/>
      </w:docPartPr>
      <w:docPartBody>
        <w:p w:rsidR="009D69D7" w:rsidRDefault="00B813AD" w:rsidP="00B813AD">
          <w:pPr>
            <w:pStyle w:val="8499E561041D406792B965543F5D27B9"/>
          </w:pPr>
          <w:r>
            <w:rPr>
              <w:b/>
            </w:rPr>
            <w:t>[Adresāts]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3975"/>
    <w:rsid w:val="00012787"/>
    <w:rsid w:val="00144334"/>
    <w:rsid w:val="00146D2A"/>
    <w:rsid w:val="00184DC2"/>
    <w:rsid w:val="00196D1B"/>
    <w:rsid w:val="001C423B"/>
    <w:rsid w:val="002208B2"/>
    <w:rsid w:val="00231EC9"/>
    <w:rsid w:val="00330F87"/>
    <w:rsid w:val="003E6E39"/>
    <w:rsid w:val="003F01A2"/>
    <w:rsid w:val="003F346E"/>
    <w:rsid w:val="004271D7"/>
    <w:rsid w:val="00480C37"/>
    <w:rsid w:val="004A7CAA"/>
    <w:rsid w:val="004E3975"/>
    <w:rsid w:val="00507D13"/>
    <w:rsid w:val="00515D14"/>
    <w:rsid w:val="00534EAE"/>
    <w:rsid w:val="00582AC9"/>
    <w:rsid w:val="005B0AFA"/>
    <w:rsid w:val="0062578E"/>
    <w:rsid w:val="007350C6"/>
    <w:rsid w:val="00744918"/>
    <w:rsid w:val="0075703D"/>
    <w:rsid w:val="007F5946"/>
    <w:rsid w:val="008956D7"/>
    <w:rsid w:val="00922043"/>
    <w:rsid w:val="009D69D7"/>
    <w:rsid w:val="00A2542A"/>
    <w:rsid w:val="00A45302"/>
    <w:rsid w:val="00A9355D"/>
    <w:rsid w:val="00AD62D8"/>
    <w:rsid w:val="00AD71E5"/>
    <w:rsid w:val="00B813AD"/>
    <w:rsid w:val="00B931EC"/>
    <w:rsid w:val="00C13CE1"/>
    <w:rsid w:val="00C167A0"/>
    <w:rsid w:val="00C23E58"/>
    <w:rsid w:val="00C64B5F"/>
    <w:rsid w:val="00CC2F36"/>
    <w:rsid w:val="00DC76BA"/>
    <w:rsid w:val="00DD75AE"/>
    <w:rsid w:val="00E13C52"/>
    <w:rsid w:val="00E22672"/>
    <w:rsid w:val="00ED4B08"/>
    <w:rsid w:val="00F85CCC"/>
    <w:rsid w:val="00FA3449"/>
    <w:rsid w:val="00FD50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578E"/>
    <w:rPr>
      <w:color w:val="808080"/>
    </w:rPr>
  </w:style>
  <w:style w:type="paragraph" w:customStyle="1" w:styleId="821BF0A9295242A588FE7A27C0C362B81">
    <w:name w:val="821BF0A9295242A588FE7A27C0C362B81"/>
    <w:rsid w:val="004E3975"/>
    <w:pPr>
      <w:spacing w:after="0" w:line="240" w:lineRule="auto"/>
      <w:jc w:val="both"/>
    </w:pPr>
    <w:rPr>
      <w:rFonts w:ascii="Times New Roman" w:eastAsiaTheme="minorHAnsi" w:hAnsi="Times New Roman"/>
      <w:sz w:val="24"/>
      <w:lang w:val="lv-LV"/>
    </w:rPr>
  </w:style>
  <w:style w:type="paragraph" w:customStyle="1" w:styleId="8499E561041D406792B965543F5D27B9">
    <w:name w:val="8499E561041D406792B965543F5D27B9"/>
    <w:rsid w:val="00B813AD"/>
    <w:rPr>
      <w:lang w:val="lv-LV" w:eastAsia="lv-LV"/>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8BDDC2A0134E0D43A8BF7ED2D3EB1E96" ma:contentTypeVersion="6" ma:contentTypeDescription="Izveidot jaunu dokumentu." ma:contentTypeScope="" ma:versionID="86301bab74f73ed9225591fbcdcba732">
  <xsd:schema xmlns:xsd="http://www.w3.org/2001/XMLSchema" xmlns:xs="http://www.w3.org/2001/XMLSchema" xmlns:p="http://schemas.microsoft.com/office/2006/metadata/properties" xmlns:ns2="21f7a9fe-7315-4d12-abaf-ae2e09d19234" xmlns:ns3="68cc99ac-fd15-414f-9a52-32e49d41466d" targetNamespace="http://schemas.microsoft.com/office/2006/metadata/properties" ma:root="true" ma:fieldsID="0f296094288e8d0e42a4370e2b719792" ns2:_="" ns3:_="">
    <xsd:import namespace="21f7a9fe-7315-4d12-abaf-ae2e09d19234"/>
    <xsd:import namespace="68cc99ac-fd15-414f-9a52-32e49d41466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f7a9fe-7315-4d12-abaf-ae2e09d19234" elementFormDefault="qualified">
    <xsd:import namespace="http://schemas.microsoft.com/office/2006/documentManagement/types"/>
    <xsd:import namespace="http://schemas.microsoft.com/office/infopath/2007/PartnerControls"/>
    <xsd:element name="SharedWithUsers" ma:index="8" nillable="true" ma:displayName="Koplietots a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8cc99ac-fd15-414f-9a52-32e49d41466d"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description="" ma:internalName="MediaServiceAutoTags" ma:readOnly="true">
      <xsd:simpleType>
        <xsd:restriction base="dms:Text"/>
      </xsd:simpleType>
    </xsd:element>
    <xsd:element name="MediaServiceDateTaken" ma:index="13" nillable="true" ma:displayName="MediaServiceDateTaken" ma:descriptio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7801B7-0200-47C4-862F-F9C0C6F364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f7a9fe-7315-4d12-abaf-ae2e09d19234"/>
    <ds:schemaRef ds:uri="68cc99ac-fd15-414f-9a52-32e49d4146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22BBCC7-3DD4-4C1A-9087-1B728783B699}">
  <ds:schemaRefs>
    <ds:schemaRef ds:uri="http://schemas.microsoft.com/sharepoint/v3/contenttype/forms"/>
  </ds:schemaRefs>
</ds:datastoreItem>
</file>

<file path=customXml/itemProps3.xml><?xml version="1.0" encoding="utf-8"?>
<ds:datastoreItem xmlns:ds="http://schemas.openxmlformats.org/officeDocument/2006/customXml" ds:itemID="{62B54944-D921-4AAA-ACE5-1995AEA331E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3629</Words>
  <Characters>2070</Characters>
  <Application>Microsoft Office Word</Application>
  <DocSecurity>0</DocSecurity>
  <Lines>17</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SPRK vestule</vt:lpstr>
      <vt:lpstr>SPRK vestule</vt:lpstr>
    </vt:vector>
  </TitlesOfParts>
  <Company/>
  <LinksUpToDate>false</LinksUpToDate>
  <CharactersWithSpaces>5688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SPRK vestule</dc:title>
  <dc:subject/>
  <dc:creator>SPRK</dc:creator>
  <cp:keywords/>
  <dc:description/>
  <cp:lastModifiedBy>Alvils Strīķeris</cp:lastModifiedBy>
  <cp:revision>2</cp:revision>
  <dcterms:created xsi:type="dcterms:W3CDTF">2021-02-02T13:17:00Z</dcterms:created>
  <dcterms:modified xsi:type="dcterms:W3CDTF">2021-02-02T13:17:00Z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0x0101008BDDC2A0134E0D43A8BF7ED2D3EB1E96</vt:lpwstr>
  </property>
</Properties>
</file>