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21-TA-1802: Likumprojekts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Grozījums Jūras vides aizsardzības un pārvaldības likumā</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19.</w:t>
            </w:r>
            <w:r w:rsidR="00000000" w:rsidRPr="00000000" w:rsidDel="00000000">
              <w:rPr>
                <w:vertAlign w:val="superscript"/>
                <w:rtl w:val="0"/>
              </w:rPr>
              <w:t xml:space="preserve">1</w:t>
            </w:r>
            <w:r w:rsidR="00000000" w:rsidRPr="00000000" w:rsidDel="00000000">
              <w:rPr>
                <w:rtl w:val="0"/>
              </w:rPr>
              <w:t xml:space="preserve"> pantu ar otro prim daļu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r w:rsidR="00000000" w:rsidRPr="00000000" w:rsidDel="00000000">
              <w:rPr>
                <w:vertAlign w:val="superscript"/>
                <w:rtl w:val="0"/>
              </w:rPr>
              <w:t xml:space="preserve">1</w:t>
            </w:r>
            <w:r w:rsidR="00000000" w:rsidRPr="00000000" w:rsidDel="00000000">
              <w:rPr>
                <w:rtl w:val="0"/>
              </w:rPr>
              <w:t xml:space="preserve">) Atļauju niršanai ierobežotā teritorijā neizsniedz personai, kas ar spēkā stājušos tiesas spriedumu vai prokurora priekšrakstu par sodu ir atzīta par vainīgu tāda noziedzīga nodarījuma izdarīšanā, kas saistīts ar kultūras pieminekļu iznīcināšanu un bojāšanu, nelikumīgām darbībām ar ieročiem, sprāgstvielām vai spridzināšanas ietaisēm, neatkarīgi no sodāmības dzēšanas vai noņemšanas.”.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(IEM - 21.02.2022.)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Precizēt projektu, ņemot vērā Krimināllikuma 79. , 229. un 229.</w:t>
            </w:r>
            <w:r w:rsidR="00000000" w:rsidRPr="00000000" w:rsidDel="00000000">
              <w:rPr>
                <w:vertAlign w:val="superscript"/>
                <w:rtl w:val="0"/>
              </w:rPr>
              <w:t xml:space="preserve">1</w:t>
            </w:r>
            <w:r w:rsidR="00000000" w:rsidRPr="00000000" w:rsidDel="00000000">
              <w:rPr>
                <w:rtl w:val="0"/>
              </w:rPr>
              <w:t xml:space="preserve">pantā lietoto terminoloģiju. Vēršam uzmanību, ka minētie panti neparedz atbildību konkrēti par kultūras pieminekļu iznīcināšanu un bojāšanu. Norādām, ka no Sodu reģistra nav iespējams iegūt informāciju par to, konkrēti kāds kultūras priekšmets (kultūras piemineklis, muzeja krājuma priekšmets vai īpaši aizsargājama bibliotēku krājuma dokuments) iznīcināts vai bojāts. Tāpat no Sodu reģistrā nav iespējams iegūt informāciju par to, vai kultūras priekšmets ir iznīcināts, bojāts vai apgānīts.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Sodu reģistra likuma 9.panta pirmās daļas  3.punkts noteic, ka Sodu reģistrā iekļauj informāciju par Krimināllikuma pantu, daļu un punktu, uz kura pamata persona notiesāta.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Vienlaikus aicinām papildināt projekta sākotnējās ietekmes novērtējuma ziņojumu (anotāciju),  norādot konkrētus Krimināllikuma pantus un to daļas, uz kuru pamata personai ir jābūt  notiesātai, lai tai neizsniegtu atļauju niršanai ierobežotā teritorijā.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Likumprojektā precizēta terminoloģija atbilstoši Krimināllikuma 79., 229., un 229.</w:t>
            </w:r>
            <w:r w:rsidR="00000000" w:rsidRPr="00000000" w:rsidDel="00000000">
              <w:rPr>
                <w:vertAlign w:val="superscript"/>
                <w:rtl w:val="0"/>
              </w:rPr>
              <w:t xml:space="preserve">1</w:t>
            </w:r>
            <w:r w:rsidR="00000000" w:rsidRPr="00000000" w:rsidDel="00000000">
              <w:rPr>
                <w:rtl w:val="0"/>
              </w:rPr>
              <w:t xml:space="preserve"> pantā lietotajai terminoloģijai. Likumprojekta  anotācija papildināta ar informāciju, ka niršanas atļauju niršanai ierobežotā teritorijā nevar saņemt persona, kas ir sodīta saskaņā ar Krimināllikuma 79. pantu, 110. panta trešo daļu, 123. panta otro daļu, 175. panta ceturto daļu, 176. panta ceturto daļu, 177. panta trešo daļu, 179. panta trešo daļu, 183. panta otro daļu, 184. panta otro un trešo daļu, 190.</w:t>
            </w:r>
            <w:r w:rsidR="00000000" w:rsidRPr="00000000" w:rsidDel="00000000">
              <w:rPr>
                <w:vertAlign w:val="superscript"/>
                <w:rtl w:val="0"/>
              </w:rPr>
              <w:t xml:space="preserve">1</w:t>
            </w:r>
            <w:r w:rsidR="00000000" w:rsidRPr="00000000" w:rsidDel="00000000">
              <w:rPr>
                <w:rtl w:val="0"/>
              </w:rPr>
              <w:t xml:space="preserve">, 229. panta otro daļu, 229.</w:t>
            </w:r>
            <w:r w:rsidR="00000000" w:rsidRPr="00000000" w:rsidDel="00000000">
              <w:rPr>
                <w:vertAlign w:val="superscript"/>
                <w:rtl w:val="0"/>
              </w:rPr>
              <w:t xml:space="preserve">1</w:t>
            </w:r>
            <w:r w:rsidR="00000000" w:rsidRPr="00000000" w:rsidDel="00000000">
              <w:rPr>
                <w:rtl w:val="0"/>
              </w:rPr>
              <w:t xml:space="preserve">, 233., 309. panta otro un trešo daļu (par Krimināllikuma pantu - 110., 123., 175., 176., 177., 179., 183., 184., 190.</w:t>
            </w:r>
            <w:r w:rsidR="00000000" w:rsidRPr="00000000" w:rsidDel="00000000">
              <w:rPr>
                <w:vertAlign w:val="superscript"/>
                <w:rtl w:val="0"/>
              </w:rPr>
              <w:t xml:space="preserve">1</w:t>
            </w:r>
            <w:r w:rsidR="00000000" w:rsidRPr="00000000" w:rsidDel="00000000">
              <w:rPr>
                <w:rtl w:val="0"/>
              </w:rPr>
              <w:t xml:space="preserve">, 233., 309. pantu pārkāpšanu, ja pārkāpums izdarīts, izmantojot sprāgstošas vielas šaujamieročus vai munīciju), 236., 237. un 346.pantu.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19.</w:t>
            </w:r>
            <w:r w:rsidR="00000000" w:rsidRPr="00000000" w:rsidDel="00000000">
              <w:rPr>
                <w:vertAlign w:val="superscript"/>
                <w:rtl w:val="0"/>
              </w:rPr>
              <w:t xml:space="preserve">1</w:t>
            </w:r>
            <w:r w:rsidR="00000000" w:rsidRPr="00000000" w:rsidDel="00000000">
              <w:rPr>
                <w:rtl w:val="0"/>
              </w:rPr>
              <w:t xml:space="preserve"> pantu ar 2.</w:t>
            </w:r>
            <w:r w:rsidR="00000000" w:rsidRPr="00000000" w:rsidDel="00000000">
              <w:rPr>
                <w:vertAlign w:val="superscript"/>
                <w:rtl w:val="0"/>
              </w:rPr>
              <w:t xml:space="preserve">1</w:t>
            </w:r>
            <w:r w:rsidR="00000000" w:rsidRPr="00000000" w:rsidDel="00000000">
              <w:rPr>
                <w:rtl w:val="0"/>
              </w:rPr>
              <w:t xml:space="preserve"> daļu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r w:rsidR="00000000" w:rsidRPr="00000000" w:rsidDel="00000000">
              <w:rPr>
                <w:vertAlign w:val="superscript"/>
                <w:rtl w:val="0"/>
              </w:rPr>
              <w:t xml:space="preserve">1</w:t>
            </w:r>
            <w:r w:rsidR="00000000" w:rsidRPr="00000000" w:rsidDel="00000000">
              <w:rPr>
                <w:rtl w:val="0"/>
              </w:rPr>
              <w:t xml:space="preserve">) Atļauju niršanai ierobežotā teritorijā neizsniedz personai, kas ar spēkā stājušos tiesas spriedumu vai prokurora priekšrakstu par sodu ir atzīta par vainīgu tāda noziedzīga nodarījuma izdarīšanā, kas saistīts ar kultūras priekšmetu iznīcināšanu un bojāšanu, kultūras un nacionālā mantojuma iznīcināšanu un nelikumīgām darbībām ar senlietām, ieročiem, sprāgstvielām vai spridzināšanas ietaisēm, neatkarīgi no sodāmības dzēšanas vai noņemšanas.”.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19.</w:t>
            </w:r>
            <w:r w:rsidR="00000000" w:rsidRPr="00000000" w:rsidDel="00000000">
              <w:rPr>
                <w:vertAlign w:val="superscript"/>
                <w:rtl w:val="0"/>
              </w:rPr>
              <w:t xml:space="preserve">1</w:t>
            </w:r>
            <w:r w:rsidR="00000000" w:rsidRPr="00000000" w:rsidDel="00000000">
              <w:rPr>
                <w:rtl w:val="0"/>
              </w:rPr>
              <w:t xml:space="preserve"> pantu ar otro prim daļu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r w:rsidR="00000000" w:rsidRPr="00000000" w:rsidDel="00000000">
              <w:rPr>
                <w:vertAlign w:val="superscript"/>
                <w:rtl w:val="0"/>
              </w:rPr>
              <w:t xml:space="preserve">1</w:t>
            </w:r>
            <w:r w:rsidR="00000000" w:rsidRPr="00000000" w:rsidDel="00000000">
              <w:rPr>
                <w:rtl w:val="0"/>
              </w:rPr>
              <w:t xml:space="preserve">) Atļauju niršanai ierobežotā teritorijā neizsniedz personai, kas ar spēkā stājušos tiesas spriedumu vai prokurora priekšrakstu par sodu ir atzīta par vainīgu tāda noziedzīga nodarījuma izdarīšanā, kas saistīts ar kultūras pieminekļu iznīcināšanu un bojāšanu, nelikumīgām darbībām ar ieročiem, sprāgstvielām vai spridzināšanas ietaisēm, neatkarīgi no sodāmības dzēšanas vai noņemšanas.”.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Noziedzīgie nodarījumi, kas saistīti ar </w:t>
            </w:r>
            <w:r w:rsidR="00000000" w:rsidRPr="00000000" w:rsidDel="00000000">
              <w:rPr>
                <w:u w:val="single"/>
                <w:rtl w:val="0"/>
              </w:rPr>
              <w:t xml:space="preserve">kultūras</w:t>
            </w:r>
            <w:r w:rsidR="00000000" w:rsidRPr="00000000" w:rsidDel="00000000">
              <w:rPr>
                <w:u w:val="single"/>
                <w:rtl w:val="0"/>
              </w:rPr>
              <w:t xml:space="preserve"> pieminekļu iznīcināšanu un bojāšanu,</w:t>
            </w:r>
            <w:r w:rsidR="00000000" w:rsidRPr="00000000" w:rsidDel="00000000">
              <w:rPr>
                <w:rtl w:val="0"/>
              </w:rPr>
              <w:t xml:space="preserve"> atrodami Krimināllikuma 79. panta "Kultūras un nacionālā mantojuma iznīcināšanas", 229. panta "Nelikumīgas darbības ar kultūras priekšmetiem" un, iespējams, citu pantu dispozīcijās.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noziedzīgie nodarījumi, kas saistīti </w:t>
            </w:r>
            <w:r w:rsidR="00000000" w:rsidRPr="00000000" w:rsidDel="00000000">
              <w:rPr>
                <w:u w:val="single"/>
                <w:rtl w:val="0"/>
              </w:rPr>
              <w:t xml:space="preserve">nelikumīgām darbībām ar ieročiem, sprāgstvielām vai spridzināšanas ietaisēm,</w:t>
            </w:r>
            <w:r w:rsidR="00000000" w:rsidRPr="00000000" w:rsidDel="00000000">
              <w:rPr>
                <w:rtl w:val="0"/>
              </w:rPr>
              <w:t xml:space="preserve"> atrodami Krimināllikuma 110., 123., 175., 176., 177., 179., 183., 184., 190.</w:t>
            </w:r>
            <w:r w:rsidR="00000000" w:rsidRPr="00000000" w:rsidDel="00000000">
              <w:rPr>
                <w:vertAlign w:val="superscript"/>
                <w:rtl w:val="0"/>
              </w:rPr>
              <w:t xml:space="preserve">1</w:t>
            </w:r>
            <w:r w:rsidR="00000000" w:rsidRPr="00000000" w:rsidDel="00000000">
              <w:rPr>
                <w:rtl w:val="0"/>
              </w:rPr>
              <w:t xml:space="preserve">, 231.</w:t>
            </w:r>
            <w:r w:rsidR="00000000" w:rsidRPr="00000000" w:rsidDel="00000000">
              <w:rPr>
                <w:vertAlign w:val="superscript"/>
                <w:rtl w:val="0"/>
              </w:rPr>
              <w:t xml:space="preserve">1</w:t>
            </w:r>
            <w:r w:rsidR="00000000" w:rsidRPr="00000000" w:rsidDel="00000000">
              <w:rPr>
                <w:rtl w:val="0"/>
              </w:rPr>
              <w:t xml:space="preserve">, 233., 235., 236., 237., 309., 346. un citos pantos.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Lai būtu  nepārprotami skaidrs, par kādiem noziedzīgiem nodarījumiem var iestāties projektā paredzētās sekas (aizliegums), aicinām anotācijā uzskaitīt kriminālatbildību nosakošās tiesību normas par kultūras pieminekļu iznīcināšanu un bojāšanu un  nelikumīgām darbībām ar ieročiem, sprāgstvielām vai spridzināšanas ietaisēm, kā arī saskaņot projektā lietoto terminoloģiju ar Krimināllikumā lietoto, nepieciešamības gadījumā skaidrojot to anotācijā.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Likumprojektā precizēta terminoloģija atbilstoši Krimināllikuma 79., 229., un 229.</w:t>
            </w:r>
            <w:r w:rsidR="00000000" w:rsidRPr="00000000" w:rsidDel="00000000">
              <w:rPr>
                <w:vertAlign w:val="superscript"/>
                <w:rtl w:val="0"/>
              </w:rPr>
              <w:t xml:space="preserve">1</w:t>
            </w:r>
            <w:r w:rsidR="00000000" w:rsidRPr="00000000" w:rsidDel="00000000">
              <w:rPr>
                <w:rtl w:val="0"/>
              </w:rPr>
              <w:t xml:space="preserve"> pantā lietotajai terminoloģijai. Likumprojekta  anotācija papildināta ar informāciju, ka niršanas atļauju niršanai ierobežotā teritorijā nevar saņemt persona, kas ir sodīta saskaņā ar Krimināllikuma 79. pantu, 110. panta trešo daļu, 123. panta otro daļu, 175. panta ceturto daļu, 176. panta ceturto daļu, 177. panta trešo daļu, 179. panta trešo daļu, 183. panta otro daļu, 184. panta otro un trešo daļu, 190.</w:t>
            </w:r>
            <w:r w:rsidR="00000000" w:rsidRPr="00000000" w:rsidDel="00000000">
              <w:rPr>
                <w:vertAlign w:val="superscript"/>
                <w:rtl w:val="0"/>
              </w:rPr>
              <w:t xml:space="preserve">1</w:t>
            </w:r>
            <w:r w:rsidR="00000000" w:rsidRPr="00000000" w:rsidDel="00000000">
              <w:rPr>
                <w:rtl w:val="0"/>
              </w:rPr>
              <w:t xml:space="preserve">, 229. panta otro daļu, 229.</w:t>
            </w:r>
            <w:r w:rsidR="00000000" w:rsidRPr="00000000" w:rsidDel="00000000">
              <w:rPr>
                <w:vertAlign w:val="superscript"/>
                <w:rtl w:val="0"/>
              </w:rPr>
              <w:t xml:space="preserve">1</w:t>
            </w:r>
            <w:r w:rsidR="00000000" w:rsidRPr="00000000" w:rsidDel="00000000">
              <w:rPr>
                <w:rtl w:val="0"/>
              </w:rPr>
              <w:t xml:space="preserve">, 233., 309. panta otro un trešo daļu (par Krimināllikuma pantu - 110., 123., 175., 176., 177., 179., 183., 184., 190.</w:t>
            </w:r>
            <w:r w:rsidR="00000000" w:rsidRPr="00000000" w:rsidDel="00000000">
              <w:rPr>
                <w:vertAlign w:val="superscript"/>
                <w:rtl w:val="0"/>
              </w:rPr>
              <w:t xml:space="preserve">1</w:t>
            </w:r>
            <w:r w:rsidR="00000000" w:rsidRPr="00000000" w:rsidDel="00000000">
              <w:rPr>
                <w:rtl w:val="0"/>
              </w:rPr>
              <w:t xml:space="preserve">, 233., 309. pantu pārkāpšanu, ja pārkāpums izdarīts, izmantojot sprāgstošas vielas šaujamieročus vai munīciju), 236., 237. un 346.pantu.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19.</w:t>
            </w:r>
            <w:r w:rsidR="00000000" w:rsidRPr="00000000" w:rsidDel="00000000">
              <w:rPr>
                <w:vertAlign w:val="superscript"/>
                <w:rtl w:val="0"/>
              </w:rPr>
              <w:t xml:space="preserve">1</w:t>
            </w:r>
            <w:r w:rsidR="00000000" w:rsidRPr="00000000" w:rsidDel="00000000">
              <w:rPr>
                <w:rtl w:val="0"/>
              </w:rPr>
              <w:t xml:space="preserve"> pantu ar 2.</w:t>
            </w:r>
            <w:r w:rsidR="00000000" w:rsidRPr="00000000" w:rsidDel="00000000">
              <w:rPr>
                <w:vertAlign w:val="superscript"/>
                <w:rtl w:val="0"/>
              </w:rPr>
              <w:t xml:space="preserve">1</w:t>
            </w:r>
            <w:r w:rsidR="00000000" w:rsidRPr="00000000" w:rsidDel="00000000">
              <w:rPr>
                <w:rtl w:val="0"/>
              </w:rPr>
              <w:t xml:space="preserve"> daļu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r w:rsidR="00000000" w:rsidRPr="00000000" w:rsidDel="00000000">
              <w:rPr>
                <w:vertAlign w:val="superscript"/>
                <w:rtl w:val="0"/>
              </w:rPr>
              <w:t xml:space="preserve">1</w:t>
            </w:r>
            <w:r w:rsidR="00000000" w:rsidRPr="00000000" w:rsidDel="00000000">
              <w:rPr>
                <w:rtl w:val="0"/>
              </w:rPr>
              <w:t xml:space="preserve">) Atļauju niršanai ierobežotā teritorijā neizsniedz personai, kas ar spēkā stājušos tiesas spriedumu vai prokurora priekšrakstu par sodu ir atzīta par vainīgu tāda noziedzīga nodarījuma izdarīšanā, kas saistīts ar kultūras priekšmetu iznīcināšanu un bojāšanu, kultūras un nacionālā mantojuma iznīcināšanu un nelikumīgām darbībām ar senlietām, ieročiem, sprāgstvielām vai spridzināšanas ietaisēm, neatkarīgi no sodāmības dzēšanas vai noņemšanas.”.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19.</w:t>
            </w:r>
            <w:r w:rsidR="00000000" w:rsidRPr="00000000" w:rsidDel="00000000">
              <w:rPr>
                <w:vertAlign w:val="superscript"/>
                <w:rtl w:val="0"/>
              </w:rPr>
              <w:t xml:space="preserve">1</w:t>
            </w:r>
            <w:r w:rsidR="00000000" w:rsidRPr="00000000" w:rsidDel="00000000">
              <w:rPr>
                <w:rtl w:val="0"/>
              </w:rPr>
              <w:t xml:space="preserve"> pantu ar 2.</w:t>
            </w:r>
            <w:r w:rsidR="00000000" w:rsidRPr="00000000" w:rsidDel="00000000">
              <w:rPr>
                <w:vertAlign w:val="superscript"/>
                <w:rtl w:val="0"/>
              </w:rPr>
              <w:t xml:space="preserve">1</w:t>
            </w:r>
            <w:r w:rsidR="00000000" w:rsidRPr="00000000" w:rsidDel="00000000">
              <w:rPr>
                <w:rtl w:val="0"/>
              </w:rPr>
              <w:t xml:space="preserve"> daļu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r w:rsidR="00000000" w:rsidRPr="00000000" w:rsidDel="00000000">
              <w:rPr>
                <w:vertAlign w:val="superscript"/>
                <w:rtl w:val="0"/>
              </w:rPr>
              <w:t xml:space="preserve">1</w:t>
            </w:r>
            <w:r w:rsidR="00000000" w:rsidRPr="00000000" w:rsidDel="00000000">
              <w:rPr>
                <w:rtl w:val="0"/>
              </w:rPr>
              <w:t xml:space="preserve">) Atļauju niršanai ierobežotā teritorijā neizsniedz personai, kas ar spēkā stājušos tiesas spriedumu vai prokurora priekšrakstu par sodu ir atzīta par vainīgu tāda noziedzīga nodarījuma izdarīšanā, kas saistīts ar kultūras priekšmetu iznīcināšanu un bojāšanu, nelikumīgām darbībām ar ieročiem, sprāgstvielām vai spridzināšanas ietaisēm, neatkarīgi no sodāmības dzēšanas vai noņemšanas.”.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(IEM - 26.05.2022.)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Likumprojekts paredz, ka atļauju niršanai ierobežotā teritorijā neizsniedz personai, kas ar spēkā stājušos tiesas spriedumu vai prokurora priekšrakstu par sodu ir atzīta par vainīgu tāda noziedzīga nodarījuma izdarīšanā, kas saistīts ar kultūras priekšmetu iznīcināšanu un bojāšanu. Projektā sākotnējās ietekmes novērtējuma ziņojumā norādīts, ka tas atbilst Krimināllikuma 229.pantam. Krimināllikuma 229.pants sastāv no divām daļām. Norādām, ka atbildība par kultūras pieminekļu  iznīcināšanu un bojāšanu ir paredzēta tikai  Krimināllikuma 229.panta otrajā daļā. Tādējādi  likumprojektā ietvertais tiesiskais regulējums neatbilst projektā sākotnējās ietekmes novērtējuma ziņojumā norādītajam, proti, tas nav attiecināms uz visu Krimināllikuma 229.pantu.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Sodu reģistra likuma 9.panta pirmās daļas  3.punkts noteic, ka Sodu reģistrā iekļauj informāciju par Krimināllikuma pantu, daļu un punktu, uz kura pamata persona notiesāta. Tādējādi Sodu reģistrā tiek uzkrātas ziņas tikai par noziedzīga nodarījuma juridisko kvalifikāciju, nevis prettiesisko darbību. Krimināllikuma 229.panta otrā daļa paredz atbildību par kultūras priekšmeta iznīcināšanu, bojāšanu </w:t>
            </w:r>
            <w:r w:rsidR="00000000" w:rsidRPr="00000000" w:rsidDel="00000000">
              <w:rPr>
                <w:u w:val="single"/>
                <w:rtl w:val="0"/>
              </w:rPr>
              <w:t xml:space="preserve">vai apgānīšanu</w:t>
            </w:r>
            <w:r w:rsidR="00000000" w:rsidRPr="00000000" w:rsidDel="00000000">
              <w:rPr>
                <w:rtl w:val="0"/>
              </w:rPr>
              <w:t xml:space="preserve">. Ņemot vērā minēto, papildināt anotāciju, sniedzot skaidrojumu, kā tiks iegūta informācija attiecībā uz likumprojektā konkrēti norādīto noziedzīga nodarījuma izdarīšanas veidu (iznīcināšana vai bojāšana).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vēršam uzmanību, ka likumprojekts neparedz, ka atļauju niršanai ierobežotā teritorijā neizsniedz personai, kura ir sodīta par kultūras un nacionālā mantojuma iznīcināšanu (Krimināllikuma 79.pants), par nelikumīgām darbībām ar senlietām (Krimināllikuma 229.1pants).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precizēt likumprojektu vai sākotnējās ietekmes novērtējuma ziņojumu.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Likumprojekta anotācija precizēta ar atsauci uz Krimināllikuma 229.panta otro daļu.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Likumprojekta anotācija papildināta ar skaidrojumu, kā tiks iegūta informācija attiecībā uz likumprojektā konkrēti norādīto noziedzīga nodarījuma izdarīšanas veidu – sk. arī šīs izziņas 12.punktā norādīto pamatojumu.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par iebildumu par Krimināllikuma 79. pantu un 229.</w:t>
            </w:r>
            <w:r w:rsidR="00000000" w:rsidRPr="00000000" w:rsidDel="00000000">
              <w:rPr>
                <w:vertAlign w:val="superscript"/>
                <w:rtl w:val="0"/>
              </w:rPr>
              <w:t xml:space="preserve">1</w:t>
            </w:r>
            <w:r w:rsidR="00000000" w:rsidRPr="00000000" w:rsidDel="00000000">
              <w:rPr>
                <w:rtl w:val="0"/>
              </w:rPr>
              <w:t xml:space="preserve"> pantu, norādām, ka likumprojekts precizēts, paredzot, ka atļauju neizsniedz, ja persona ir sodīta arī par kultūras un nacionālā mantojuma iznīcināšanu un nelikumīgām darbībām ar senlietām. Atbilstoši precizēta arī likumprojekta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19.</w:t>
            </w:r>
            <w:r w:rsidR="00000000" w:rsidRPr="00000000" w:rsidDel="00000000">
              <w:rPr>
                <w:vertAlign w:val="superscript"/>
                <w:rtl w:val="0"/>
              </w:rPr>
              <w:t xml:space="preserve">1</w:t>
            </w:r>
            <w:r w:rsidR="00000000" w:rsidRPr="00000000" w:rsidDel="00000000">
              <w:rPr>
                <w:rtl w:val="0"/>
              </w:rPr>
              <w:t xml:space="preserve"> pantu ar 2.</w:t>
            </w:r>
            <w:r w:rsidR="00000000" w:rsidRPr="00000000" w:rsidDel="00000000">
              <w:rPr>
                <w:vertAlign w:val="superscript"/>
                <w:rtl w:val="0"/>
              </w:rPr>
              <w:t xml:space="preserve">1</w:t>
            </w:r>
            <w:r w:rsidR="00000000" w:rsidRPr="00000000" w:rsidDel="00000000">
              <w:rPr>
                <w:rtl w:val="0"/>
              </w:rPr>
              <w:t xml:space="preserve"> daļu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r w:rsidR="00000000" w:rsidRPr="00000000" w:rsidDel="00000000">
              <w:rPr>
                <w:vertAlign w:val="superscript"/>
                <w:rtl w:val="0"/>
              </w:rPr>
              <w:t xml:space="preserve">1</w:t>
            </w:r>
            <w:r w:rsidR="00000000" w:rsidRPr="00000000" w:rsidDel="00000000">
              <w:rPr>
                <w:rtl w:val="0"/>
              </w:rPr>
              <w:t xml:space="preserve">) Atļauju niršanai ierobežotā teritorijā neizsniedz personai, kas ar spēkā stājušos tiesas spriedumu vai prokurora priekšrakstu par sodu ir atzīta par vainīgu tāda noziedzīga nodarījuma izdarīšanā, kas saistīts ar kultūras priekšmetu iznīcināšanu un bojāšanu, kultūras un nacionālā mantojuma iznīcināšanu un nelikumīgām darbībām ar senlietām, ieročiem, sprāgstvielām vai spridzināšanas ietaisēm, neatkarīgi no sodāmības dzēšanas vai noņemšanas.”.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(IEM - 21.02.2022.)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sākotnējās ietekmes novērtējuma ziņojumu (anotāciju), skaidrojot termina “nelikumīgām darbībām ar ieročiem, sprāgstvielām vai spridzināšanas ietaisēm” tvērumu, proti, norādīt konkrētus Krimināllikuma pantus un to daļas, uz kura pamata personai ir jābūt  notiesātai, lai tai neizsniegtu atļauju niršanai ierobežotā teritorijā.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likumprojekta anotācijas 1.3. apakšpunkts ar informāciju, ka niršanas atļauju niršanai ierobežotā teritorijā nevar saņemt persona, kas ir sodīta saskaņā ar Krimināllikuma 79. pantu, 110. panta trešo daļu, 123. panta otro daļu, 175. panta ceturto daļu, 176. panta ceturto daļu, 177. panta trešo daļu, 179. panta trešo daļu, 183. panta otro daļu, 184. panta otro un trešo daļu, 190.</w:t>
            </w:r>
            <w:r w:rsidR="00000000" w:rsidRPr="00000000" w:rsidDel="00000000">
              <w:rPr>
                <w:vertAlign w:val="superscript"/>
                <w:rtl w:val="0"/>
              </w:rPr>
              <w:t xml:space="preserve">1</w:t>
            </w:r>
            <w:r w:rsidR="00000000" w:rsidRPr="00000000" w:rsidDel="00000000">
              <w:rPr>
                <w:rtl w:val="0"/>
              </w:rPr>
              <w:t xml:space="preserve">, 229.panta otro daļu, 229.</w:t>
            </w:r>
            <w:r w:rsidR="00000000" w:rsidRPr="00000000" w:rsidDel="00000000">
              <w:rPr>
                <w:vertAlign w:val="superscript"/>
                <w:rtl w:val="0"/>
              </w:rPr>
              <w:t xml:space="preserve">1</w:t>
            </w:r>
            <w:r w:rsidR="00000000" w:rsidRPr="00000000" w:rsidDel="00000000">
              <w:rPr>
                <w:rtl w:val="0"/>
              </w:rPr>
              <w:t xml:space="preserve">, 233., 309. pantu otro un trešo daļu (par Krimināllikuma pantu - 110., 123., 175., 176., 177., 179., 183., 184., 190.</w:t>
            </w:r>
            <w:r w:rsidR="00000000" w:rsidRPr="00000000" w:rsidDel="00000000">
              <w:rPr>
                <w:vertAlign w:val="superscript"/>
                <w:rtl w:val="0"/>
              </w:rPr>
              <w:t xml:space="preserve">1</w:t>
            </w:r>
            <w:r w:rsidR="00000000" w:rsidRPr="00000000" w:rsidDel="00000000">
              <w:rPr>
                <w:rtl w:val="0"/>
              </w:rPr>
              <w:t xml:space="preserve">, 233., 309. pantu pārkāpšanu, ja pārkāpums izdarīts, izmantojot sprāgstošas vielas šaujamieročus vai munīciju), 236., 237. un 346.pantu.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anotācijā atspoguļot projektā paredzētā ierobežojuma samērīgumu, ņemot vērā, ka šis aizliegums ir beztermiņa un neparedz individuālas izvērtēšanas iespējas.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Samērīgums ir iztirzāts anotācijas 1.3., 6.3. un 8.1.12. apakšpunktā.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Tiesību akta projekta izpildes nodrošināšana un tās ietekme uz institūcijām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aizpildīt anotācijas 7.sadaļu, jo regulējuma izpildes nodrošināšanā iesaistītas būs kompetentās institūcijas, kuras pieprasīs (piem., Nacionālo bruņoto spēku Jūras spēku flotiles Krasta apsardzes dienests) vai sniegs lēmumpieņēmējiem nepieciešamo informāciju - Sodu reģistrs (Iekšlietu ministrija), kultūras pieminekļu reģistri (Nacionālā kultūras mantojuma pārvalde, pašvaldība, muzeji utt.), krimināllietas materiāli, lai konstatētu faktus ierobežojošo kritēriju atbilstībai utt.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likumprojekta anotācijas 7.punkts ar informāciju, ka normatīvā akta izpildi nodrošinās Nacionālo bruņoto spēku Jūras spēku Krasta apsardzes dienests un Iekšlietu ministrijas Informācijas centrs.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Tiesību akta projekta izpildes nodrošināšana un tās ietekme uz institūcijām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8.1.6. uz vidi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aizpildīt minēto punktu, ņemot vērā to, ka regulējuma mērķis, kā norādīts anotācijā, ir sabiedrības drošība un kultūrvēsturiskās vides aizsardzība. Savukārt Jūras vides aizsardzības un pārvaldības likuma 19.</w:t>
            </w:r>
            <w:r w:rsidR="00000000" w:rsidRPr="00000000" w:rsidDel="00000000">
              <w:rPr>
                <w:vertAlign w:val="superscript"/>
                <w:rtl w:val="0"/>
              </w:rPr>
              <w:t xml:space="preserve">1</w:t>
            </w:r>
            <w:r w:rsidR="00000000" w:rsidRPr="00000000" w:rsidDel="00000000">
              <w:rPr>
                <w:rtl w:val="0"/>
              </w:rPr>
              <w:t xml:space="preserve"> panta pirmajā daļā noteikts, ka tajās vietās, kur jūrā atrodas kuģu vraki vai nogrimuši priekšmeti, </w:t>
            </w:r>
            <w:r w:rsidR="00000000" w:rsidRPr="00000000" w:rsidDel="00000000">
              <w:rPr>
                <w:u w:val="single"/>
                <w:rtl w:val="0"/>
              </w:rPr>
              <w:t xml:space="preserve">kas rada vai var radīt apdraudējumu jūras videi vai kultūrvēsturiskām vērtībām</w:t>
            </w:r>
            <w:r w:rsidR="00000000" w:rsidRPr="00000000" w:rsidDel="00000000">
              <w:rPr>
                <w:rtl w:val="0"/>
              </w:rPr>
              <w:t xml:space="preserve">, nosaka niršanai ierobežotas teritorijas. No minētā var secināt, ka ierobežojumi nepieciešami arī jūras vides aizsardzībai.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Normatīvā akta mērķis ir aizliegums konkrētām personām nirt konkrētās vietās. Likumprojektam pašam par sevi nav ietekmes uz vidi.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8.1.6. uz vidi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8.1.12. uz cilvēktiesībām, demokrātiskām vērtībām un pilsoniskās sabiedrības attīstību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ietvert izvērtējumu uz cilvēktiesībām, ņemot vērā paredzētā ierobežojuma (aizlieguma) beztermiņa raksturu.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likumprojekta anotācijas 8.1.12. apakšpunkts ar informāciju, ka plānotais regulējums nav uzskatāms par absolūtu aizliegumu personai, kas vēlas nodarboties ar niršanas darbiem jūrā. Likumprojekts paredz atļaujas neizsniegšanu tikai niršanai ierobežotajām jūras teritorijām, proti, jūrā ierobežotā teritorijā (konkrētās teritorijas ir noteiktas Ministru kabineta noteikumos) un tikai tai personai, kas ar spēkā stājušos tiesas spriedumu vai prokurora priekšrakstu par sodu ir atzīta par vainīgu tāda noziedzīga nodarījuma izdarīšanā, kas saistīts ar kultūras priekšmetu iznīcināšanu un bojāšanu, kultūras un nacionālā mantojuma iznīcināšanu un nelikumīgām darbībām ar senlietām, ieročiem, sprāgstvielām vai spridzināšanas ietaisēm, neatkarīgi no sodāmības dzēšanas vai noņemšanas.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norādītos apstākļus, Nacionālie bruņotie spēki, neizsniedzot atļauju niršanas darbu veikšanai jūrā ierobežotā teritorijā noziedzīgu nodarījumu izdarījušai personai, turpinās nodrošināt gan sabiedrības drošību (ierobežotās teritorijās var atrasties dzīvībai un veselībai bīstami priekšmeti), gan tādu kultūras vērtību saglabāšanu, kā kuģu vraki un citas Latvijas ūdeņos nogrimušas mantas, ja tās atrodas norādītajā teritorijā jūrā. Šāds ierobežojums, saskaņā ar Jūras spēku praksi, vēl aizvien ir aktuāls, lai novērstu personu, kas ir izdarījušas konkrētus noziedzīgos nodarījumus, vēlmi izdarīt atkārtotus noziedzīgus nodarījumus.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8.1.12. uz cilvēktiesībām, demokrātiskām vērtībām un pilsoniskās sabiedrības attīstību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8.1.13. uz datu aizsardzību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pievienot ietekmes izvērtējumu uz datu aizsardzību, ņemot vērā, ka projektā paredzētā regulējuma izpildei būs nepieciešama sensitīva rakstura personas datu apstrāde.</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likumprojekta anotācijas 8.1.13. apakšpunkts ar informāciju, ka atbilstoši Ministru kabineta noteikumiem Nr. 133, Nacionālo bruņoto spēku Krasta apsardzes dienests saņem niršanas atļaujas pieprasījumus, reģistrē, pieprasa informāciju no kompetentajām institūcijām, izsniedz atļaujas un sadarbībā ar Valsts robežsardzi kontrolē to izmantošanu. Informācija par niršanas atļaujām ierobežotajās teritorijās ir ierobežotas pieejamības informācija un tā tiek apstrādāta atbilstoši normatīvajiem aktiem.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8.1.13. uz datu aizsardzību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skaidrots, ka praksē ir konstatēti gadījumi, ka MK noteikumu Nr. 133 3.2. apakšpunkts tiek interpretēts dažādi, jo nav skaidri noteikts, ka atļaujas netiek izsniegtas neatkarīgi no sodāmības dzēšanas vai noņemšanas.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ierobežojumu kritēriji ir skaidri jāatrunā likumā un jāinterpretē šauri.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Krimināllikuma 63. panta devītā daļa noteic, ka sodāmības dzēšana un noņemšana </w:t>
            </w:r>
            <w:r w:rsidR="00000000" w:rsidRPr="00000000" w:rsidDel="00000000">
              <w:rPr>
                <w:u w:val="single"/>
                <w:rtl w:val="0"/>
              </w:rPr>
              <w:t xml:space="preserve">anulē visas izdarītā noziedzīgā nodarījuma krimināltiesiskās sekas</w:t>
            </w:r>
            <w:r w:rsidR="00000000" w:rsidRPr="00000000" w:rsidDel="00000000">
              <w:rPr>
                <w:rtl w:val="0"/>
              </w:rPr>
              <w:t xml:space="preserve">, izņemot tās, kuras likumā paredzētas, ja pirms sodāmības dzēšanas vai noņemšanas izdarīts jauns noziedzīgs nodarījums.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Šāda interpretēšanas problēma nevar būt pamats tiesību ierobežojumu palielināšanai vai aizliegumam. Tādēļ lūdzam precizēt anotācijā problēmas aprakstu, raksturojot praksē pastāvošās problēmas, kuru dēļ būtu nepieciešams noteikt aizliegumu niršanas atļaujas izsniegšanai uz mūžu.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likumprojekta anotācijas 1.3. apakšpunkts, norādot, ka praksē ir konstatēti gadījumi, ka MK noteikumu Nr. 133 3.2. apakšpunkts tiek interpretēts dažādi, jo nav skaidri noteikts, ka atļaujas netiek izsniegtas neatkarīgi no sodāmības dzēšanas vai noņemšanas. Arī no tiesu prakses ir secināms, ka ierobežojuma gadījumā speciālajā tiesību normā ir tiešā tekstā jāparedz, ka ierobežojums pastāv neatkarīgi no sodāmības dzēšanas vai noņemšanas. Konkrētajā gadījumā MK noteikumu Nr. 133 3.2. apakšpunkta normā tas tā tiešā tekstā nav minēts. Līdz ar to ir nepieciešams precizēt normatīvo regulējumu.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Tiesību akta projekta izpildes nodrošināšana un tās ietekme uz institūcijām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(SAM - 25.05.2022.)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7. sadaļā ir norādīts, ka viena no projekta izpildē iesaistītajām institūcijām ir VSIA “Latvijas Jūras administrācija”. Vienīgā projektā ietvertā tiesību norma ir aizliegums saņemt atļauju niršanai ierobežotā teritorijā personai, kas ir bijusi atzīta par vainīgu noteikta noziedzīga nodarījuma izdarīšanā. Saskaņā ar Ministru kabineta 2016. gada 1. marta noteikumu Nr. 133 “Noteikumi par niršanu jūrā ierobežotās teritorijās” (turpmāk - MK noteikumi Nr.133) 9.1. apakšpunktu to, vai persona, kas ir iesniegusi pieteikumu atļaujas saņemšanai niršanai ierobežotā teritorijā, ir bijusi atzīta par vainīgu noteikta noziedzīga nodarījuma izdarīšanā, pārbauda Nacionālo bruņoto spēku Jūras spēku Krasta apsardzes dienests un Iekšlietu ministrijas Informācijas centrs. VSIA "Latvijas Jūras administrācija" nav norādīta šāda kompetence. Saskaņā ar MK noteikumu Nr.133 9.2. apakšpunktu VSIA "Latvijas Jūras administrācija" tikai saskaņo pieteikumu no kuģošanas drošības viedokļa. Līdz ar to nav pamata anotācijas 7. sadaļā kā vienu no projekta izpildē iesaistītajām institūcijām norādīt arī VSIA “Latvijas Jūras administrācija”.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anotācijas 7.1. apakšsadaļā svītrot vārdus “VSIA “Latvijas Jūras administrācija”” un atbilstoši precizēt arī anotācijas 7.5. apakšsadaļu, piemēram, šo apakšsadaļu vispār neaizpildot, jo tajā minētais pēc būtības tikai atkārto 7.1. apakšsadaļā jau minēto.</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anotācijas 7.1. apakšpunkta svītrota VSIA “Latvijas Jūras administrācija” un svītrots anotācijas 7.5. apakšpunktā minētais.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Tiesību akta projekta izpildes nodrošināšana un tās ietekme uz institūcijām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(IEM - 26.05.2022.)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Sodu reģistra likuma 9.panta pirmās daļas  3.punkts noteic, ka Sodu reģistrā iekļauj informāciju par Krimināllikuma pantu, daļu un punktu, uz kura pamata persona notiesāta.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 Sodu reģistrā nav iespējams iegūt informāciju par to, kādā veidā ir izdarīts attiecīgais noziedzīgais nodarījums. Piemēram, Krimināllikuma 123.panta otrajā daļā ir paredzēta atbildība par patvaļīgu zivju vai ūdensdzīvnieku iegūšanu, izmantojot elektrostrāvu, sprāgstošas vielas, indīgas vielas vai citus vispārbīstamus līdzekļus vai paņēmienus. Sodu reģistrā  būs informācija, ka ir izdarīts Krimināllikuma 123.panta otrajā daļā paredzētais noziedzīgais nodarījums, taču Sodu reģistrā nebūs ietverta informācija par to, ka tas izdarīts konkrēti, izmantojot sprāgstošas vielas.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papildināt anotāciju, norādot, kā tiks iegūta informācija, kas nav iekļauta Sodu reģistrā, proti, attiecībā uz noziedzīga nodarījuma izdarīšanas veidu (izmantojot sprāgstošas vielas).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Atbildot uz lūgumu skaidrot to, kā tiek plānots iegūt papildu informāciju, kas nav iekļauta Sodu reģistrā (piemēram, ka ir izdarīts Krimināllikuma 123. panta otrajā daļā paredzētais noziedzīgais nodarījums, taču nebūs norādes par to, ka tas izdarīts konkrēti, izmantojot sprāgstošas vielas), informējam, ka līdz šim Krasta apsardzes dienests niršanas atļauju ir atteicis tikai 3 gadījumos, no kuriem divi atteikumi ir vienai personai un 1 atteikums saistīts ar noziedzīgu nodarījumu, kas kvalificēts saskaņā ar Krimināllikuma 233. panta otro daļu. Ņemot vērā to, ka abi atteikumi ir bijuši saistīti ar nelikumīgām darbībām ar ieročiem, sprāgstvielām vai spridzināšanas ietaisēm, kā arī to, ka ir ļoti neliels niršanas atļauju atteikumu skaits, tad praktiskie aspekti pilnīgas informācijas saņemšanai šobrīd nav precīzi aprakstāmi.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Likumprojekta anotācija papildināta ar informāciju, ka, ņemot vērā to, ka Sodu reģistrs uzkrāj ziņas tikai par noziedzīga nodarījuma juridisko kvalifikāciju, nevis prettiesisko darbību, tad gadījumos, kad Sodu reģistra sniegtā informācija nebūs pilnīga (trūks informācijas, lai pieņemtu pamatotu lēmumu par atļauju vai atteikumu niršanai ierobežotās teritorijās), plānots organizēt oficiālu saziņu ar Iekšlietu ministrijas Informācijas centru ar lūgumu sniegt papildu informāciju, ciktāl tas ir iespējams. Attiecīgi no šīs informācijas Krasta apsardzes dienests var izvērtēt tālākās darbības – ir vai nav nepieciešams izgūt tiesas spriedumu, citus iespējamos materiālus par konkrēto personu un tās izdarīto noziedzīgo nodarījumu, lai  noteiktu noziedzīga nodarījuma izdarīšanas veidu (piemēram, vai izmantotas sprāgstvielas) un pamatotu pieņemto lēmumu par niršanas atļaujas izsniegšanu vai atteikumu to izsniegt.</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Izdarīt Jūras vides aizsardzības un pārvaldības likumā (Latvijas Vēstnesis, 2010, 183., 205. nr.; 2013, 243. nr.; 2014, 119. nr.; 2015, 230. nr.; 2019, 248A nr.) šādu grozījumu: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- 25.05.2022.)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papildināt publikāciju uzskaitījumu ar 2022. gada 31. marta likuma "Grozījumi Jūras vides aizsardzības un pārvaldības likumā" publikācijas datiem - 2022, 75.A nr.</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publikāciju uzskaitījums.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Izdarīt Jūras vides aizsardzības un pārvaldības likumā (Latvijas Vēstnesis, 2010, 183., 205. nr.; 2013, 243. nr.; 2014, 119. nr.; 2015, 230. nr.; 2019, 248A nr., 2022, 75A  nr.) šādu grozījumu: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19.</w:t>
            </w:r>
            <w:r w:rsidR="00000000" w:rsidRPr="00000000" w:rsidDel="00000000">
              <w:rPr>
                <w:vertAlign w:val="superscript"/>
                <w:rtl w:val="0"/>
              </w:rPr>
              <w:t xml:space="preserve">1</w:t>
            </w:r>
            <w:r w:rsidR="00000000" w:rsidRPr="00000000" w:rsidDel="00000000">
              <w:rPr>
                <w:rtl w:val="0"/>
              </w:rPr>
              <w:t xml:space="preserve"> pantu ar otro prim daļu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r w:rsidR="00000000" w:rsidRPr="00000000" w:rsidDel="00000000">
              <w:rPr>
                <w:vertAlign w:val="superscript"/>
                <w:rtl w:val="0"/>
              </w:rPr>
              <w:t xml:space="preserve">1</w:t>
            </w:r>
            <w:r w:rsidR="00000000" w:rsidRPr="00000000" w:rsidDel="00000000">
              <w:rPr>
                <w:rtl w:val="0"/>
              </w:rPr>
              <w:t xml:space="preserve">) Atļauju niršanai ierobežotā teritorijā neizsniedz personai, kas ar spēkā stājušos tiesas spriedumu vai prokurora priekšrakstu par sodu ir atzīta par vainīgu tāda noziedzīga nodarījuma izdarīšanā, kas saistīts ar kultūras pieminekļu iznīcināšanu un bojāšanu, nelikumīgām darbībām ar ieročiem, sprāgstvielām vai spridzināšanas ietaisēm, neatkarīgi no sodāmības dzēšanas vai noņemšanas.”.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izteikt panta ievaddaļu piedāvātajā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19.</w:t>
            </w:r>
            <w:r w:rsidR="00000000" w:rsidRPr="00000000" w:rsidDel="00000000">
              <w:rPr>
                <w:vertAlign w:val="superscript"/>
                <w:rtl w:val="0"/>
              </w:rPr>
              <w:t xml:space="preserve">1</w:t>
            </w:r>
            <w:r w:rsidR="00000000" w:rsidRPr="00000000" w:rsidDel="00000000">
              <w:rPr>
                <w:rtl w:val="0"/>
              </w:rPr>
              <w:t xml:space="preserve"> pantu ar 2.</w:t>
            </w:r>
            <w:r w:rsidR="00000000" w:rsidRPr="00000000" w:rsidDel="00000000">
              <w:rPr>
                <w:vertAlign w:val="superscript"/>
                <w:rtl w:val="0"/>
              </w:rPr>
              <w:t xml:space="preserve">1</w:t>
            </w:r>
            <w:r w:rsidR="00000000" w:rsidRPr="00000000" w:rsidDel="00000000">
              <w:rPr>
                <w:rtl w:val="0"/>
              </w:rPr>
              <w:t xml:space="preserve"> daļu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Panta ievaddaļa izteikta piedāvātajā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19.</w:t>
            </w:r>
            <w:r w:rsidR="00000000" w:rsidRPr="00000000" w:rsidDel="00000000">
              <w:rPr>
                <w:vertAlign w:val="superscript"/>
                <w:rtl w:val="0"/>
              </w:rPr>
              <w:t xml:space="preserve">1</w:t>
            </w:r>
            <w:r w:rsidR="00000000" w:rsidRPr="00000000" w:rsidDel="00000000">
              <w:rPr>
                <w:rtl w:val="0"/>
              </w:rPr>
              <w:t xml:space="preserve"> pantu ar 2.</w:t>
            </w:r>
            <w:r w:rsidR="00000000" w:rsidRPr="00000000" w:rsidDel="00000000">
              <w:rPr>
                <w:vertAlign w:val="superscript"/>
                <w:rtl w:val="0"/>
              </w:rPr>
              <w:t xml:space="preserve">1</w:t>
            </w:r>
            <w:r w:rsidR="00000000" w:rsidRPr="00000000" w:rsidDel="00000000">
              <w:rPr>
                <w:rtl w:val="0"/>
              </w:rPr>
              <w:t xml:space="preserve"> daļu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r w:rsidR="00000000" w:rsidRPr="00000000" w:rsidDel="00000000">
              <w:rPr>
                <w:vertAlign w:val="superscript"/>
                <w:rtl w:val="0"/>
              </w:rPr>
              <w:t xml:space="preserve">1</w:t>
            </w:r>
            <w:r w:rsidR="00000000" w:rsidRPr="00000000" w:rsidDel="00000000">
              <w:rPr>
                <w:rtl w:val="0"/>
              </w:rPr>
              <w:t xml:space="preserve">) Atļauju niršanai ierobežotā teritorijā neizsniedz personai, kas ar spēkā stājušos tiesas spriedumu vai prokurora priekšrakstu par sodu ir atzīta par vainīgu tāda noziedzīga nodarījuma izdarīšanā, kas saistīts ar kultūras priekšmetu iznīcināšanu un bojāšanu, kultūras un nacionālā mantojuma iznīcināšanu un nelikumīgām darbībām ar senlietām, ieročiem, sprāgstvielām vai spridzināšanas ietaisēm, neatkarīgi no sodāmības dzēšanas vai noņemšanas.”.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21-TA-1802</w:t>
    </w:r>
    <w:r>
      <w:br/>
    </w:r>
    <w:r w:rsidR="00000000" w:rsidRPr="00000000" w:rsidDel="00000000">
      <w:rPr>
        <w:rtl w:val="0"/>
      </w:rPr>
      <w:t xml:space="preserve">14.07.2022. 15.28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21-TA-1802</w:t>
    </w:r>
    <w:r>
      <w:br/>
    </w:r>
    <w:r w:rsidR="00000000" w:rsidRPr="00000000" w:rsidDel="00000000">
      <w:rPr>
        <w:rtl w:val="0"/>
      </w:rPr>
      <w:t xml:space="preserve">14.07.2022. 15.28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Izziņa_21-TA-1802.docx</dc:title>
</cp:coreProperties>
</file>

<file path=docProps/custom.xml><?xml version="1.0" encoding="utf-8"?>
<Properties xmlns="http://schemas.openxmlformats.org/officeDocument/2006/custom-properties" xmlns:vt="http://schemas.openxmlformats.org/officeDocument/2006/docPropsVTypes"/>
</file>