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24-TA-728: Likumprojekts starptautiskā līguma apstiprināšanai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Protokolu par grozījumiem Konvencijā par noziegumiem un dažām citām nelikumīgām darbībām, kas izdarītas gaisa kuģos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Protokols par grozījumiem Konvencijā par noziegumiem un dažām citām nelikumīgām darbībām, kas izdarītas gaisa kuģos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nosaukumu atveidot atbilstoši Ministru kabineta 2009.gada 3.februāra noteikumu Nr.108 "Normatīvo aktu projektu sagatavošanas noteikumi" 8.punktam.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Protokolu par grozījumiem Konvencijā par noziegumiem un dažām citām nelikumīgām darbībām, kas izdarītas gaisa kuģos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Protokolu par grozījumiem Konvencijā par noziegumiem un dažām citām nelikumīgām darbībām, kas izdarītas gaisa kuģos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1963. gada 14. septembrī Tokijā parakstītās Konvencijas par noziegumiem un dažām citām nelikumīgām darbībām, kas izdarītas gaisa kuģos, 2014.gada 4.aprīļa Monreālas protokols (turpmāk — Protokols) ar šo likumu tiek pieņemts un apstiprināts.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ar šo likumu tiek apstiprināts Protokols par grozījumiem Konvencijā par noziegumiem un dažām citām nelikumīgām darbībām, kas izdarītas gaisa kuģos, tad tas korekti jānorāda arī likumprojekta 1. pantā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2014. gada 4. aprīlī Monreālā parakstītais Protokols par grozījumiem Konvencijā par noziegumiem un dažām citām nelikumīgām darbībām, kas izdarītas gaisa kuģos (turpmāk - Protokols) ar šo likumu tiek pieņemts un apstiprināts.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2014.gada 4.aprīlī Monreālā parakstītais Protokols par grozījumiem Konvencijā par noziegumiem un dažām citām nelikumīgām darbībām, kas izdarītas gaisa kuģos (turpmāk - Protokols) ar šo likumu tiek pieņemts un apstiprināts.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Protokola V panta izpratnē par kompetentajām institūcijām Latvijas Republikā tiek noteiktas institūcijas, kas veic izmeklēšanas, kriminālvajāšanas un tiesvedības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Kriminālprocesa likuma 679.1 pantu "Informācijas apmaiņa par Latvijā notiekošu kriminālprocesu par to pašu noziedzīgo nodarījumu" ceturto daļu informācijas apmaiņā pirmstiesas procesā kompetentā iestāde ir Ģenerālprokuratūra, bet līdz kriminālvajāšanas uzsākšanai — Valsts policija. Pēc lietas nodošanas tiesai kompetentā iestāde informācijas apmaiņā ir Tieslietu ministrija. Ievērojot to, ka minēto tiesiskās sadarbības jautājumu jau risina Kriminālprocesa likums, no likumprojekta nepieciešams izslēgt 3.pantu.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Iepriekšējās redakcijas 3.pants dzēsts. Anotācijas punkts 1.3. Problēmas un risinājumi papildināts ar iebilduma teksta redakciju.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Protokols stājas spēkā tā XVIII pantā noteiktajā laikā un kārtībā, un par to Ārlietu ministrija paziņo laikrakstā "Latvijas Vēstnesis". Līdz ar likumu izsludināms Protokols angļu valodā un tā tulkojums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kancelejas rekomendācijām pantu izteikt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Protokols stājas spēkā tā XVIII pantā noteiktajā laikā un kārtībā, un Ārlietu ministrija par to paziņo oficiālajā izdevumā "Latvijas Vēstnesis". Līdz ar likumu izsludināms Protokols angļu valodā un tā tulkojums latviešu valodā.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Protokols stājas spēkā tā XVIII pantā noteiktajā laikā un kārtībā, un Ārlietu ministrija par to paziņo oficiālajā izdevumā "Latvijas Vēstnesis". Līdz ar likumu izsludināms Protokols angļu valodā un tā tulkojums latviešu valodā.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ietekmes apraksta norādīts, ka Policija ir atbildīgā institūcija, kas, lidmašīnai nosēžoties lidostā, aiztur pasažieri, pret kuru var tik tālāk virzīts administratīvais vai kriminālpārkāpuma process. Vēršam uzmanību uz to, ka vārdu "administratīvais vai kriminālpārkāpuma process" vietā nepieciešams rakstīt vārdus "administratīvā pārkāpuma process vai kriminālprocess", kas ir juridiski korekti.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Policija ir atbildīgā institūcija, kas, lidmašīnai nosēžoties lidostā, aiztur pasažieri, pret kuru var tik tālāk virzīts </w:t>
            </w:r>
            <w:r w:rsidR="00000000" w:rsidRPr="00000000" w:rsidDel="00000000">
              <w:rPr>
                <w:u w:val="single"/>
                <w:rtl w:val="0"/>
              </w:rPr>
              <w:t xml:space="preserve">administratīvā pārkāpuma process vai kriminālprocess</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Policija ir atbildīgā institūcija, kas, lidmašīnai nosēžoties lidostā, aiztur pasažieri, pret kuru var tik tālāk virzīts administratīvā pārkāpuma process vai kriminālprocess.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- 08.05.2024.)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4.1.2. apakšpunktā ietverto norādi uz Krimināllikumu. Ministru kabineta 2021. gada 7. septembra noteikumu Nr. 617 "Tiesību akta projekta sākotnējās ietekmes izvērtēšanas kārtība" 14.4. apakšpunkts un 15. punkts paredz, ka projekta sākotnējās ietekmes novērtējuma ziņojuma (anotācijas) 4. sadaļu "projekta ietekme uz spēkā esošo tiesību normu sistēmu" aizpilda tikai tad, ja tas ir attiecināms. Proti, attiecīgajā sadaļā ir norādāmi tikai tie tiesību aktu projekti, kuros ir nepieciešams veikt grozījumus līdztekus konkrētajam projektam.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ziņojuma (anotācijas) 4.1.2. apakšpunktā ietvertā informācija par Krimināllikumu nesatur norādi par kādiem nepieciešamajiem grozījumiem Krimināllikuma 3. pantā, bet gan citē jau spēkā esošo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projekta sākotnējās ietekmes novērtējuma ziņojuma (anotācijas) 4.1.2. apakšpunkts svītrojams.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vēršama uzmanība, ka Iekšlietu ministrija nav atbildīgā institūcija jautājumos, kas saistīti ar normatīvā regulējuma izstrādi nolūkā īstenot Protokolu par grozījumiem Konvencijā par noziegumiem un dažām citām nelikumīgām darbībām, kas izdarītas gaisa kuģos, bet gan par pieņemtā regulējuma īstenošanu tās kompetences ietvaros. Līdz ar to Iekšlietu ministrija savas kompetences ietvaros var tikai īstenot jau pieņemtās Krimināllikuma normas, bet nevis veikt grozījumus attiecīgajā normatīvajā aktā.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svītrot norādi uz Iekšlietu ministriju kā atbildīgo iestādi attiecībā uz norādītā saistītā regulējuma izstrādi (projekta sākotnējās ietekmes novērtējuma ziņojuma (anotācijas) 4.1.2.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4.1.2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(ĀM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Vadlīnijām tiesību aktu projekta sākotnējās ietekmes novērtēšanai un novērtējuma ziņojuma sagatavošanai Vienotajā tiesību aktu izstrādes un saskaņošanas portālā 5.5.2.tabulu aizpilda tikai gadījumā, ja uzņemtās saistības, kas konkrētajā gadījumā ir parakstīt Protokolu, Latvijai par pienākumu uzliek kāds cits starptautisks dokuments, nevis saistības izriet no dokumenta, kurš ar šo tiesību aktu projektu tiek ienests Latvijas normatīvo aktu sistēmā (kā piemēru var minēt gaisa satiksmes nolīgumus, kuru slēgšanas iespējas ir paredzētas Konvencijā par starptautisko civilo aviāciju). Anotācijā atsauces uz šādu starptautisku dokumentu nav.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 5.5.2 izslēgta, jo Protokola ratifikācija neizriet no citiem starptautiskiem dokumentiem.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Starptautiskā līguma projekts latviešu valodā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Protokols par grozījumiem Konvencijā par noziegumiem un dažām citām nelikumībām, kas izdarītas gaisa kuģos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(ĢP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Protokola tulkojumā sākot ar IV pantu vārdu "noziegums" nepieciešams aizstāt ar vārdu "nodarījums", jo vārda "offence" tulkojums ir nodarījums vai pārkāpums. Turklāt ja protokola tulkojumā tiks lietots vārds noziegums, tad to nevarēs attiecināt uz administratīvajiem pārkāpumiem un kriminālpārkāpumiem, bet gan tikai uz mazāk smagiem noziegumiem, smagiem noziegumiem un sevišķi smagiem noziegumiem.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saskaņā ar Kirmināllikuma 7.panta pirmo daļu, atbilstoši personas vai sabiedrības interešu apdraudējuma raksturam un kaitīgumam noziedzīgi nodarījumi iedalāmi kriminālpārkāpumos un noziegumos. Noziegumi iedalāmi šādi: mazāk smagi noziegumi, smagi noziegumi un sevišķi smagi noziegumi.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valodas centra (VVC) 2019.gadā veiktajā Protokola latviešu valodas tulkojumā lietotā terminoloģija ir saskaņā ar ratificētās Konvencijas par noziegumiem un dažām citām nelikumīgām darbībām, kas izdarītas gaisakuģos teksta terminoloģiju - t.sk. lietoto terminu "noziegumi” (</w:t>
            </w:r>
            <w:r w:rsidR="00000000" w:rsidRPr="00000000" w:rsidDel="00000000">
              <w:rPr>
                <w:i w:val="1"/>
                <w:rtl w:val="0"/>
              </w:rPr>
              <w:t xml:space="preserve">offences</w:t>
            </w:r>
            <w:r w:rsidR="00000000" w:rsidRPr="00000000" w:rsidDel="00000000">
              <w:rPr>
                <w:rtl w:val="0"/>
              </w:rPr>
              <w:t xml:space="preserve">). Jāņem vērā, ka gan Konvencijas, gan Protokola teksts iekļauj terminus “noziegumi un citas nelikumīgas darbības” (</w:t>
            </w:r>
            <w:r w:rsidR="00000000" w:rsidRPr="00000000" w:rsidDel="00000000">
              <w:rPr>
                <w:i w:val="1"/>
                <w:rtl w:val="0"/>
              </w:rPr>
              <w:t xml:space="preserve">offences and other acts)</w:t>
            </w:r>
            <w:r w:rsidR="00000000" w:rsidRPr="00000000" w:rsidDel="00000000">
              <w:rPr>
                <w:rtl w:val="0"/>
              </w:rPr>
              <w:t xml:space="preserve">, kas lasot kopā ar Konvencijas 1.panta 1.punktu un ICAO paskaidrojošām vadlīnijām Protokola ieviešanas juridiskajos aspektos, sniedz norādi uz visiem iespējamiem pārkāpumiem un nodarījumiem, taču ko katra valsts klasificē un piemēro atbilstoši savai sodu un tiesvedības praksei.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Konvencijas minētajā 1.pantā ir norādes uz divu veidu pārkāpumu grupām, uz kuriem attiecas šī Konvencija (šī doma arī atspoguļota Konvencijas nosaukumā):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1.panta a. apakšpunktā: </w:t>
            </w:r>
            <w:r w:rsidR="00000000" w:rsidRPr="00000000" w:rsidDel="00000000">
              <w:rPr>
                <w:i w:val="1"/>
                <w:rtl w:val="0"/>
              </w:rPr>
              <w:t xml:space="preserve">offences against penal law</w:t>
            </w:r>
            <w:r w:rsidR="00000000" w:rsidRPr="00000000" w:rsidDel="00000000">
              <w:rPr>
                <w:rtl w:val="0"/>
              </w:rPr>
              <w:t xml:space="preserve"> (latviski tulkots kā “kriminālnoziegumi”);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1.panta b. apakšpunktā : </w:t>
            </w:r>
            <w:r w:rsidR="00000000" w:rsidRPr="00000000" w:rsidDel="00000000">
              <w:rPr>
                <w:i w:val="1"/>
                <w:rtl w:val="0"/>
              </w:rPr>
              <w:t xml:space="preserve">acts</w:t>
            </w:r>
            <w:r w:rsidR="00000000" w:rsidRPr="00000000" w:rsidDel="00000000">
              <w:rPr>
                <w:i w:val="1"/>
                <w:rtl w:val="0"/>
              </w:rPr>
              <w:t xml:space="preserve">,</w:t>
            </w:r>
            <w:r w:rsidR="00000000" w:rsidRPr="00000000" w:rsidDel="00000000">
              <w:rPr>
                <w:i w:val="1"/>
                <w:rtl w:val="0"/>
              </w:rPr>
              <w:t xml:space="preserve"> which whether or not they are offences</w:t>
            </w:r>
            <w:r w:rsidR="00000000" w:rsidRPr="00000000" w:rsidDel="00000000">
              <w:rPr>
                <w:rtl w:val="0"/>
              </w:rPr>
              <w:t xml:space="preserve">, kas latviski tulkots kā  “darbības, kas neatkarīgi no tā, vai tām ir nozieguma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Tātad, šī Konvencija attiecas gan uz krimināli, gan administratīvi sodāmiem pārkāpumiem, kur vārds </w:t>
            </w:r>
            <w:r w:rsidR="00000000" w:rsidRPr="00000000" w:rsidDel="00000000">
              <w:rPr>
                <w:i w:val="1"/>
                <w:rtl w:val="0"/>
              </w:rPr>
              <w:t xml:space="preserve">offences </w:t>
            </w:r>
            <w:r w:rsidR="00000000" w:rsidRPr="00000000" w:rsidDel="00000000">
              <w:rPr>
                <w:rtl w:val="0"/>
              </w:rPr>
              <w:t xml:space="preserve">(tā tulkojums latviski-  noziegums) nebūtu interpretējams kā tikai attiecināms uz vienu noziedzīgo nodarījumu daļu saskaņā ar Krimināllikuma 7.pantu (proti, mazāk smagiem, smagiem un sevišķi smagiem noziegumiem).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Iztulkojot vārdu </w:t>
            </w:r>
            <w:r w:rsidR="00000000" w:rsidRPr="00000000" w:rsidDel="00000000">
              <w:rPr>
                <w:i w:val="1"/>
                <w:rtl w:val="0"/>
              </w:rPr>
              <w:t xml:space="preserve">offences </w:t>
            </w:r>
            <w:r w:rsidR="00000000" w:rsidRPr="00000000" w:rsidDel="00000000">
              <w:rPr>
                <w:rtl w:val="0"/>
              </w:rPr>
              <w:t xml:space="preserve">kā nodarījums vai pārkāpums kā norādīts atzinumā, tiktu sašaurināts Konvencijas saturiskais tvērums un tās būtiskāko terminu savstarpējā loģika – lietojot šos terminus kopā (</w:t>
            </w:r>
            <w:r w:rsidR="00000000" w:rsidRPr="00000000" w:rsidDel="00000000">
              <w:rPr>
                <w:i w:val="1"/>
                <w:rtl w:val="0"/>
              </w:rPr>
              <w:t xml:space="preserve">offences and other acts)</w:t>
            </w:r>
            <w:r w:rsidR="00000000" w:rsidRPr="00000000" w:rsidDel="00000000">
              <w:rPr>
                <w:rtl w:val="0"/>
              </w:rPr>
              <w:t xml:space="preserve"> kā tas paskaidrots Konvencijas 1.pantā un paskaidrojošās vadlīnijās, lai aptvertu gan krimināli sodāmus, gan administratīvus vai mazākas nozīmes pārkāpumus.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Konvencijas “15. bis pants norāda, ka “katra dalībvalsts tiek mudināta veikt pasākumus, kas nepieciešami, lai ierosinātu atbilstošu kriminālprocesu, administratīvo procesu vai jebkura cita veida tiesas procesu pret jebkuru personu, kas gaisa kuģī izdarījusi 1. panta 1. punktā minētu noziegumu vai nelikumīgu darbību”. Proti, katra valsts piemēros attiecīgo normatīvo regulējumu procesuālas darbības atbilstoši savas valsts sodu un tiesvedības sistēmai.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Protokola V panta izpratnē par kompetentajām institūcijām Latvijas Republikā tiek noteiktas institūcijas, kas veic izmeklēšanas, kriminālvajāšanas un tiesvedības darbības.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lietot Kriminālprocesa likuma terminoloģiju un ievērot procesa virzītāju kompetenču loku, vārdus "un tiesvedības" aizstājot ar vārdiem "vai iztiesāšanas". Attiecīgi precizēt projekta sākotnējās ietekmes novērtējuma ziņojumu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ņemts vērā, jo šis pants izslēgts, ņemot vērā Prokuratūras iebildumu.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nosaukumu atveidot atbilstoši Ministru kabineta 2009.gada 3.februāra noteikumu Nr.108 "Normatīvo aktu projektu sagatavošanas noteikumi" 8.punktam.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Protokolu par grozījumiem Konvencijā par noziegumiem un citām nelikumīgām darbībām, kas izdarītas gaisa kuģos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nosaukums: Tiesību akta projekta "Par Protokolu par grozījumiem Konvencijā par noziegumiem un dažām citām nelikumīgām darbībām, kas izdarītas gaisa kuģos" sākotnējās ietekmes (ex-ante) novērtējuma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starptautiskajiem līgumiem nosaukumiem, nelietot pieturzīmi „pēdiņas”.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izlabots.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(ĢP - 22.04.2024.)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pašreizējās situācijas apraksta būtu nepieciešams norādīt, ka Protokolā ietvertais tiesiskais regulējums par jurisdikciju atbilst Krimināllikuma 3.pantā un 4.panta ceturtajā daļā noteiktajam, proti, ka persona, kas noziedzīgu nodarījumu izdarījusi ārpus Latvijas teritorijas, atrodoties uz gaisakuģa, jūras vai upju kuģa vai cita peldoša līdzekļa, ja šis līdzeklis reģistrēts Latvijas Republikā un ja Latvijas Republikai saistošos starptautiskajos līgumos nav noteikts citādi, saucama pie atbildības saskaņā ar šo likumu. Savukārt, ārzemnieki, kuriem nav pastāvīgās uzturēšanās atļaujas Latvijas Republikā un kuri izdarījuši noziedzīgu nodarījumu citas valsts teritorijā vai ārpus jebkuras valsts teritorijas, neatkarīgi no nodarījuma izdarīšanas vietas valsts likumiem saucami pie atbildības saskaņā ar šo likumu Latvijas Republikai saistošos starptautiskajos līgumos paredzētajos gadījumos, ja par šo nodarījumu tie nav saukti pie kriminālatbildības vai nodoti tiesai citas valsts teritorijā.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Protokolā ietvertais tiesiskais regulējums par jurisdikciju atbilst Krimināllikuma 3.pantā un 4.panta ceturtajā daļā noteiktajam, proti, ka persona, kas noziedzīgu nodarījumu izdarījusi ārpus Latvijas teritorijas, atrodoties uz gaisakuģa, jūras vai upju kuģa vai cita peldoša līdzekļa, ja šis līdzeklis reģistrēts Latvijas Republikā un ja Latvijas Republikai saistošos starptautiskajos līgumos nav noteikts citādi, saucama pie atbildības saskaņā ar šo likumu. Savukārt, ārzemnieki, kuriem nav pastāvīgās uzturēšanās atļaujas Latvijas Republikā un kuri izdarījuši noziedzīgu nodarījumu citas valsts teritorijā vai ārpus jebkuras valsts teritorijas, neatkarīgi no nodarījuma izdarīšanas vietas valsts likumiem saucami pie atbildības saskaņā ar šo likumu Latvijas Republikai saistošos starptautiskajos līgumos paredzētajos gadījumos, ja par šo nodarījumu tie nav saukti pie kriminālatbildības vai nodoti tiesai citas valsts teritorijā.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punkts sadaļā Pašreizējā situācija precizēts, iekļaujot priekšlikuma redakcijas tekstu.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ziņojuma (anotācijas) 1.2. sadaļā norādīts, ka tikšot pārskatīti arī kriminālatbildības aspekti. Savukārt Projekta sākotnējās ietekmes novērtējuma ziņojuma (anotācijas) 4.2. sadaļā faktiski ir minēts, ka tiks pārskatīts administratīvo sodu sastāvs un apmērs, iestrādājot attiecīgās administratīvā pārkāpuma normas likumā “Par aviāciju”.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projekta sākotnējās ietekmes novērtējuma ziņojumu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precizēts Anotācijas sadaļā 1.2. un 4.2., ka tiks pārskatīti administratīvo sodu sastāvs un apmērs, un ka tiks izvērtēti kriminālatbildības aspekti.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attiecīgajā nacionālajā regulējumā lietoto terminoloģiju un terminu būtību, lūdzam aizstāt vārdus "var tik ierosināts administratīvais sods" ar vārdiem "var tikt ierosināts administratīvā pārkāpuma process", vārdus "noziedzīgs sastāvs" ar vārdiem "noziedzīga nodarījuma sastāvs", vārdus "virzīts administratīvais vai kriminālpārkāpuma process" ar vārdiem "administratīvā pārkāpuma process vai kriminālprocess" vārdu "likumdošanu" ar vārdu "normatīvo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un precizēta terminoloģija Anotācijas 2.1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"Protokols par grozījumiem Konvencijā par noziegumiem un dažām citām nelikumīgām darbībām, kas izdarītas gaisa kuģos"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- 19.04.2024.)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nosaukumu atveidot atbilstoši Ministru kabineta 2009.gada 3.februāra noteikumu Nr.108 "Normatīvo aktu projektu sagatavošanas noteikumi" 8.punktam.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 Protokolu par grozījumiem Konvencijā par noziegumiem un dažām citām nelikumīgām darbībām, kas izdarītas gaisa kuģos"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Likumprojekts "Par Protokolu par grozījumiem Konvencijā par noziegumiem un dažām citām nelikumīgām darbībām, kas izdarītas gaisa kuģos"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24-TA-728</w:t>
    </w:r>
    <w:r>
      <w:br/>
    </w:r>
    <w:r w:rsidR="00000000" w:rsidRPr="00000000" w:rsidDel="00000000">
      <w:rPr>
        <w:rtl w:val="0"/>
      </w:rPr>
      <w:t xml:space="preserve">11.06.2024. 15.14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24-TA-728</w:t>
    </w:r>
    <w:r>
      <w:br/>
    </w:r>
    <w:r w:rsidR="00000000" w:rsidRPr="00000000" w:rsidDel="00000000">
      <w:rPr>
        <w:rtl w:val="0"/>
      </w:rPr>
      <w:t xml:space="preserve">11.06.2024. 15.14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Izziņa_24-TA-728.docx</dc:title>
</cp:coreProperties>
</file>

<file path=docProps/custom.xml><?xml version="1.0" encoding="utf-8"?>
<Properties xmlns="http://schemas.openxmlformats.org/officeDocument/2006/custom-properties" xmlns:vt="http://schemas.openxmlformats.org/officeDocument/2006/docPropsVTypes"/>
</file>