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22-TA-701: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2007. gada 13. februāra noteikumos Nr. 120 "Labības sēklaudzēšanas un sēklu tirdzniecības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plānotie izdevumi 2023. un 2024.gadā ir nelieli (2023.gadā 3 820 </w:t>
            </w:r>
            <w:r w:rsidR="00000000" w:rsidRPr="00000000" w:rsidDel="00000000">
              <w:rPr>
                <w:i w:val="1"/>
                <w:rtl w:val="0"/>
              </w:rPr>
              <w:t xml:space="preserve">euro </w:t>
            </w:r>
            <w:r w:rsidR="00000000" w:rsidRPr="00000000" w:rsidDel="00000000">
              <w:rPr>
                <w:rtl w:val="0"/>
              </w:rPr>
              <w:t xml:space="preserve">un 2024.gadā 1 500 </w:t>
            </w:r>
            <w:r w:rsidR="00000000" w:rsidRPr="00000000" w:rsidDel="00000000">
              <w:rPr>
                <w:i w:val="1"/>
                <w:rtl w:val="0"/>
              </w:rPr>
              <w:t xml:space="preserve">euro</w:t>
            </w:r>
            <w:r w:rsidR="00000000" w:rsidRPr="00000000" w:rsidDel="00000000">
              <w:rPr>
                <w:rtl w:val="0"/>
              </w:rPr>
              <w:t xml:space="preserve">), lūdzam Zemkopības ministriju izvērtēt iespējas šos izdevumus nodrošināt Zemkopības ministrijas esošo budžeta līdzekļu ietvaros, attiecīgi precizējot anotācijas 3.sadaļu. Savukārt saistībā ar 2025.gadā plānotajiem vienreizējiem ieguldījumiem iekārtu iegādei (73 000 </w:t>
            </w:r>
            <w:r w:rsidR="00000000" w:rsidRPr="00000000" w:rsidDel="00000000">
              <w:rPr>
                <w:i w:val="1"/>
                <w:rtl w:val="0"/>
              </w:rPr>
              <w:t xml:space="preserve">euro</w:t>
            </w:r>
            <w:r w:rsidR="00000000" w:rsidRPr="00000000" w:rsidDel="00000000">
              <w:rPr>
                <w:rtl w:val="0"/>
              </w:rPr>
              <w:t xml:space="preserve">) un ikgadējiem ieguldījumiem 2025.gadā un turpmākajos gados (32 813 </w:t>
            </w:r>
            <w:r w:rsidR="00000000" w:rsidRPr="00000000" w:rsidDel="00000000">
              <w:rPr>
                <w:i w:val="1"/>
                <w:rtl w:val="0"/>
              </w:rPr>
              <w:t xml:space="preserve">euro</w:t>
            </w:r>
            <w:r w:rsidR="00000000" w:rsidRPr="00000000" w:rsidDel="00000000">
              <w:rPr>
                <w:rtl w:val="0"/>
              </w:rPr>
              <w:t xml:space="preserve">), sniegt informāciju anotācijas 3.sadaļā, kā tiks nodrošināta noteikumu projekta īstenošana, ja ikgadējā valsts budžeta un vidēja termiņa budžeta ietvara likumprojektu sagatavošanas procesā netiks atbalstīts papildu finansējums.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Zemkopības ministrijai nav brīvu līdzekļu, ko paredzēt jaunām funkcijām, un arī padotības iestādei Valsts augu aizsardzības dienestam (turpmāk - dienests), nav līdzekļu, lai varētu nodrošināt noteikumu projektā paredzēto funkciju izpildi. Nepieciešamais finansējums gan 2023. gadam, gan turpmākajiem gadiem ir jāparedz no valsts budžeta.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ikgadējā valsts budžeta un vidēja termiņa budžeta ietvara likumprojektu sagatavošanas procesā netiks atbalstīts papildu finansējums dienestam, dienests nevarēs attīstīt un piedāvāt kvalitatīvākus pakalpojumus sēklu kontroles jomā. Šķirņu selekcijā arvien vairāk tiek izmantoti bioķīmiski un molekulāri paņēmieni, kā arī sēklu šķirņu identifikācijā šīm metodēm turpmāk būs arvien lielāka nozīme.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projekta normas, kas tiek pārņemtas ar Komisijas 2021. gada 16. jūnija Īstenošanas direktīvu (ES) 2021/971 (turpmāk - direktīva), attiecas uz dienestu, nevis uz privātpersonām, aicinām izvērtēt, vai direktīvas normu pārņemšanu nepieciešams īstenot, iekļaujot to noteikumu projektā. Alternatīvi lūdzam normas papildināt ar regulējumu, kas paredz, kur var iepazīties ar attiecīgajiem paņēmieniem un piemērojamiem starptautiskajiem standartiem, piemēram, iekļaujot norādi, ka attiecīgie dokumenti pieejami dienesta tīmekļa vietnē (ja šādu papildinājumu vēl nav iespējams īstenot tādēļ, ka Latvijā pagaidām nav iespējams izmantot BMP šķirnes identifikācijā, aicinām attiecīgu skaidrojumu iekļaut anotācijā; salīdzinājumam sk. noteikumu 50.</w:t>
            </w:r>
            <w:r w:rsidR="00000000" w:rsidRPr="00000000" w:rsidDel="00000000">
              <w:rPr>
                <w:vertAlign w:val="superscript"/>
                <w:rtl w:val="0"/>
              </w:rPr>
              <w:t xml:space="preserve">3</w:t>
            </w:r>
            <w:r w:rsidR="00000000" w:rsidRPr="00000000" w:rsidDel="00000000">
              <w:rPr>
                <w:rtl w:val="0"/>
              </w:rPr>
              <w:t xml:space="preserve"> 2. apakšpunktu, kā arī grozījumu projekta Ministru kabineta 2010. gada 13. aprīļa noteikumos Nr. 352 "Eļļas augu un šķiedraugu sēklaudzēšanas un sēklu tirdzniecības noteikumi" (22-TA-244)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Direktīva 2021/971  ir obligāti jāievieš. To nosaka  2. panta “Transponēšana” 1.punkts.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Patlaban bioķīmiskie un molekulārie paņēmieni (turpmāk - BMP) ir izstrādāti tikai atsevišķām sugām, un darbs pie to izstrādes turpinās. Dienests vēl tikai vērtē, kurus paņēmienus un kurām sugām izmantot, tāpēc pagaidām dienesta tīmekļvietnē nav iespējams ievietot informāciju par konkrētiem BMP. To varēs ievietot tikai, kad būs skaidrs kura tieši akreditētā metode attiecīgajai sugai  tiks ieviesta. Pašlaik dienestam nav finansiālu iespēju BMP ieviest, jo nepieciešama darbinieku apmācība ārpus Latvijas, kā arī jānodrošina tehniskais aprīkojums. Līdzko tiks piešķirts finansējums, tad arī būs zināmas konkrētas BMP, ko izmantos, un tiks precizēti šie noteikumi.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anotācijas 1.3. sadaļā iekļaut skaidrojumu par visām noteikumu projektā paredzētajām izmaiņām, tostarp arī precizējumiem noteikumu 39. punktā, noteikumu papildināšanu ar 126. punktu, informatīvās atsauces papildināšanu, kā arī noteikumu projekta 2. punktu, kas paredz konkrētu noteikumu projekta spēkā stāšanos no 2022. gada 1. septembra. Papildus aicinām attiecībā uz izmaiņām noteikumu 100. punktā sniegt skaidrojumu anotācijā, vai izmaiņas atbilst Sēklu un šķirņu aprites likuma 6.panta pirmās daļas 6.punktam, saskaņā ar kuru tirgotājam ir pienākums nodrošināt uzskaites dokumentu kārtošanu, lai Valsts augu aizsardzības dienesta inspektoram būtu pieejama informācija par visiem sēklu aprites posmiem. Proti, pamatojoties uz šo prasību tirgotājam ir jāsniedz informācija par trešajām personām pārdotām sēklām. Attiecīgi aicinām precizēt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anotācijas 5.4. sadaļas 1. tabulā norādīto informāciju par Eiropas Savienības prasību pārņemšanu vēršam uzmanību, ka abu pārņemto direktīvu 2. panta 1. punktu normas tiek pārņemtas ar noteikumu projektu un tā normām. Papildus norādām, ka arī Komisijas Īstenošanas direktīvas (ES) 2021/971 pielikuma B daļa tiek pārņemta ar noteikumu projekta normām, kā arī Komisijas Īstenošanas direktīvas (ES) 2021/1927 pielikuma vienības tiek pārņemtas ar noteikumu projekta normām. Attiecīgi aicinām precizēt anotācijas 5.4. sadaļas 1. tabulu.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projektā ir iekļautas ne tikai izmaiņas, kas pārņem Eiropas Savienības direktīvu prasības, bet arī pēc ministrijas (iestādes) iniciatīvas paredzētas izmaiņas, aicinām papildināt anotācijas 1.1. sadaļu “Pamatojums”, kā arī precizēt 1.2. sadaļas mērķa aprakstā norādīto informāciju. Papildus lūdzam anotācijas 1.2. sadaļas spēkā stāšanās termiņa pamatojumā norādīt, ka pārējās noteikumu projekta normas, kuras nepārņem direktīvu prasības, stājas spēkā vispārējā kārtībā.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Ministru kabineta 2021. gada 7. septembra noteikumu Nr. 617 "Tiesību akta projekta sākotnējās ietekmes izvērtēšanas kārtība" 9.1. apakšpunktu, lūdzam noteikumu projekta anotācijā papildināt skaidrojumu par noteikumu projekta 1.7. apakšpunkta nepieciešamību un mērķi, tostarp atbilstību Sēklu un šķirņu aprites likuma 6. panta pirmās daļas 6. punktam. Proti, noteikumu projekta anotācijā norādīts, ka minētajā likuma vienībā paredzēts sēklaudzētāju, sēklu sagatavotāju, saiņotāju un tirgotāju pienākums nodrošināt uzskaites dokumentu kārtošanu, lai dienesta inspektoram būtu pieejama informācija par visiem sēklu aprites posmiem, bet nav noteikts, cik plašai ir jābūt informācijai par attiecīgiem sēklu aprites posmiem. Tomēr vēršam uzmanību, ka no noteikumu projekta anotācijas neizriet skaidrojums, vai, neietverot informāciju par pircēju, dienesta inspektoram noteikumu projektā norādītajos gadījumos būs pietiekama informācija par attiecīgo sēklu aprites posmu, un kā tiek novērsti riski attiecībā to, ka informācijas tiek darīta pieejama ierobežotā apmērā, kādēļ nepieciešams atbilstoši papildināt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Sēklu un šķirņu aprites likuma 6.panta pirmās daļas 2. punktā noteikts, ka tirgotājam nepieciešams kārtot dokumentāciju saskaņā ar sēklaudzēšanas un sēklu tirdzniecības noteikumiem, un šā likuma 6.panta pirmās daļas 6.punktā noteikts, ka sēklaudzētāju, sēklu sagatavotāju, saiņotāju un tirgotāju pienākums ir nodrošināt uzskaites dokumentu kārtošanu, lai dienesta inspektoram būtu pieejama informācija par visiem sēklu aprites posmiem. Tas, cik plašai ir jābūt informācijai par attiecīgiem sēklu aprites posmiem, ir noteikts sēklaudzēšanas un sēklu tirdzniecības noteikumos.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Spēkā esošajos noteikumos ir noteikts, ka persona, kas nodarbojas ar sēklu tirgošanu, kārto sēklu uzskaites žurnālu. Tāpat noteikumos ir noteikts, kā un kura informācija tirgotājam ir jāreģistrē žurnālā. Tirgotājs sēklu uzskaites žurnālā reģistrē visus attiecīgās sugas un šķirnes sēklu sagatavošanas posmus un izmantošanas veidus, norādot katrā darbībā izmantoto sēklu daudzumu kilogramos. Tirgotājs sēklu uzskaites žurnālā norāda, cik daudz sēklu tiek pārdots gan lielos, gan nelielos iepakojumos. Izņēmums noteikumu projektā paredzēts tādam gadījumam, kad gala patērētājs iegādājas sēklas mazā iepakojumā.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Dienestam nav nepieciešams zināt to, ka tirgotājs ir pārdevis mazo sēklu iepakojumu gala patērētājam, kurš sēklu materiālu izmanto savām vajadzībām un nenodarbojas ar sēklaudzēšanu. Dienesta inspektors nedodas uzraudzībā pie gala patērētāja, kurš iegādājies sēklu nelielā iepakojumā, jo noteikumi nosaka, ka sēklaudzētājs, sēklu sagatavotājs, saiņotājs un tirgotājs tiek reģistrēts Sēklaudzētāju un sēklu tirgotāju reģistrā, un tikai šo personu uzraudzība ir dienesta inspektoru kompetencē.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Pašlaik noteiktā prasība, ka nepieciešams sēklu uzskaites žurnālā norādīt visus pircējus, tirgotājam ir liels administratīvais slogs, kas nesniedz noderīgu informāciju par šo sēklu aprites posmu.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Uzturam izziņas 7. punktā ietverto iebildumu. Ja atbilstoši izziņā norādītajam pēcpārbaude cita starpā ietver sevī arī noteikumu projekta 1.8. apakšpunktā paredzēto darbību, lūdzam noteikumu projekta 1.8. apakšpunktā nelietot norādi "Ja pēc šajā nodaļā minētās pēcpārbaudes" (no kā var secināt, ka attiecīgā pēcpārbaude ir beigusies), bet tā vietā norādīt uz konkrētām pēcpārbaudes ietvaros veiktām darbībām, pēc kuru veikšanas joprojām pastāv šaubas par sēklu šķirnes identitāti, vai alternatīvi lūdzam izziņā sniegto skaidrojumu ietvert noteikumu projekta anotācijā, izslēdzot nekorektas interpretācijas iespējas.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Pēcpārbaudi veic, kā noteikts noteikumu 104. punktā, lai pārliecinātos, vai sēklu partijas pavairošanas procesā ir nodrošināta un saglabājusies šķirnes identitāte un tīrība. Pēcpārbaudē tiek ietverti divi iepriekšminētie procesi – šķirnes identitātes pārbaude un tīrības pārbaude.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1.8. apakšpunkts izteikts šādā redakcijā: "117.</w:t>
            </w:r>
            <w:r w:rsidR="00000000" w:rsidRPr="00000000" w:rsidDel="00000000">
              <w:rPr>
                <w:vertAlign w:val="superscript"/>
                <w:rtl w:val="0"/>
              </w:rPr>
              <w:t xml:space="preserve">1</w:t>
            </w:r>
            <w:r w:rsidR="00000000" w:rsidRPr="00000000" w:rsidDel="00000000">
              <w:rPr>
                <w:rtl w:val="0"/>
              </w:rPr>
              <w:t xml:space="preserve"> Ja pēc šajā nodaļā minētās </w:t>
            </w:r>
            <w:r w:rsidR="00000000" w:rsidRPr="00000000" w:rsidDel="00000000">
              <w:rPr>
                <w:b w:val="1"/>
                <w:rtl w:val="0"/>
              </w:rPr>
              <w:t xml:space="preserve">šķirnes identitātes pārbaudes</w:t>
            </w:r>
            <w:r w:rsidR="00000000" w:rsidRPr="00000000" w:rsidDel="00000000">
              <w:rPr>
                <w:rtl w:val="0"/>
              </w:rPr>
              <w:t xml:space="preserve"> joprojām pastāv šaubas par sēklu šķirnes identitāti, Valsts augu aizsardzības dienests identitātes pārbaudei var izmantot starptautiski atzītu un reproducējamu bioķīmisku vai molekulāru paņēmienu saskaņā ar piemērojamajiem starptautiskajiem standartiem."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1.8. apakšpunktā norādīts uz konkrētu pēcpārbaudes laikā īstenotu darbību, t.i., šķirnes identitātes pārbaudi, pēc kuras, ja joprojām pastāv šaubas par sēklu šķirnes identitāti, sēklu šķirnes identitāti ir nepieciešams pārbaudīt, izmantojot BMP.</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Noteikumu projekts "Grozījumi Ministru kabineta 2007. gada 13. februāra noteikumos Nr. 120 "Labības sēklaudzēšanas un sēklu tirdzniecības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anotācijas 3.sadaļā tiek noteikts, ka noteikumu projekta īstenošanai ir ietekme uz budžetu un jautājums par papildu finansējumu ir izskatāms Ministru kabinetā likumprojekta "Par vidējā termiņa budžeta ietvaru 2023., 2024., 2025. gadam" un likumprojekta "Par valsts budžetu 2023. gada" sagatavošanas procesā kopā ar visu ministriju un citu centrālo valsts iestāžu iesniegtajiem pieteikumiem prioritārajiem pasākumiem, tad lūdzam arī Ministru kabineta protokollēmuma projektu papildināt ar attiecīgu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Protokollēmums papildināts.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Noteikumu projekts "Grozījumi Ministru kabineta 2007. gada 13. februāra noteikumos Nr. 120 "Labības sēklaudzēšanas un sēklu tirdzniecības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117.</w:t>
            </w:r>
            <w:r w:rsidR="00000000" w:rsidRPr="00000000" w:rsidDel="00000000">
              <w:rPr>
                <w:vertAlign w:val="superscript"/>
                <w:rtl w:val="0"/>
              </w:rPr>
              <w:t xml:space="preserve">1</w:t>
            </w:r>
            <w:r w:rsidR="00000000" w:rsidRPr="00000000" w:rsidDel="00000000">
              <w:rPr>
                <w:rtl w:val="0"/>
              </w:rPr>
              <w:t xml:space="preserve"> Ja pēc šajā nodaļā minētās pēcpārbaudes joprojām pastāv šaubas par sēklu šķirnes identitāti, Valsts augu aizsardzības dienests identitātes pārbaudei var izmantot starptautiski atzītu un reproducējamu bioķīmisku vai molekulāru paņēmienu saskaņā ar piemērojamajiem starptautiskajiem standartiem.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vai sakarā ar noteikumu papildināšanu ar 117.</w:t>
            </w:r>
            <w:r w:rsidR="00000000" w:rsidRPr="00000000" w:rsidDel="00000000">
              <w:rPr>
                <w:vertAlign w:val="superscript"/>
                <w:rtl w:val="0"/>
              </w:rPr>
              <w:t xml:space="preserve">1</w:t>
            </w:r>
            <w:r w:rsidR="00000000" w:rsidRPr="00000000" w:rsidDel="00000000">
              <w:rPr>
                <w:rtl w:val="0"/>
              </w:rPr>
              <w:t xml:space="preserve"> punktu nav nepieciešamas izmaiņas 118. punktā attiecībā uz Valsts augu aizsardzības dienesta lēmumu par sēklu partijas tālākas pavairošanas iespējām (līdzīgi kā sakarā ar 38.</w:t>
            </w:r>
            <w:r w:rsidR="00000000" w:rsidRPr="00000000" w:rsidDel="00000000">
              <w:rPr>
                <w:vertAlign w:val="superscript"/>
                <w:rtl w:val="0"/>
              </w:rPr>
              <w:t xml:space="preserve">1</w:t>
            </w:r>
            <w:r w:rsidR="00000000" w:rsidRPr="00000000" w:rsidDel="00000000">
              <w:rPr>
                <w:rtl w:val="0"/>
              </w:rPr>
              <w:t xml:space="preserve"> punkta papildinājumu paredzētas izmaiņas 39. punktā). Nepieciešamības gadījumā lūdzam precizēt projektu, kā arī precizēt citus saistītos tiesību aktu projektus.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nepieciešams grozīt noteikumu 118. punktu, jo noteikumu 118. punktā ir ietvertas  visas Valsts augu aizsardzības dienesta (turpmāk - dienests) pēcpārbaudē īstenotās darbības šķirnes identitātes pārbaudei, arī 117.</w:t>
            </w:r>
            <w:r w:rsidR="00000000" w:rsidRPr="00000000" w:rsidDel="00000000">
              <w:rPr>
                <w:vertAlign w:val="superscript"/>
                <w:rtl w:val="0"/>
              </w:rPr>
              <w:t xml:space="preserve">1 </w:t>
            </w:r>
            <w:r w:rsidR="00000000" w:rsidRPr="00000000" w:rsidDel="00000000">
              <w:rPr>
                <w:rtl w:val="0"/>
              </w:rPr>
              <w:t xml:space="preserve">punktā minētās, un ja šķirnes identitāte ir neatbilstoša, dienests pieņem attiecīgu lēmumu. Tādējādi nav pamata 118. punktu papildināt ar vienu no paņēmieniem šķirnes identitātes pārbaudei.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117.</w:t>
            </w:r>
            <w:r w:rsidR="00000000" w:rsidRPr="00000000" w:rsidDel="00000000">
              <w:rPr>
                <w:vertAlign w:val="superscript"/>
                <w:rtl w:val="0"/>
              </w:rPr>
              <w:t xml:space="preserve">1 </w:t>
            </w:r>
            <w:r w:rsidR="00000000" w:rsidRPr="00000000" w:rsidDel="00000000">
              <w:rPr>
                <w:rtl w:val="0"/>
              </w:rPr>
              <w:t xml:space="preserve">punkts nosaka vienu no šķirnes identitātes pārbaudes paņēmieniem, paredzot, ka šaubu gadījumā var izmantot BMP. Savukārt noteikumu 118. punkts nosaka, kā jārīkojas dienesta inspektoram, ja šķirņu identitāte neatbilst. Šis punkts ietver visas XI nodaļā minētās pārbaudes šķirnes identitātes noteikšanai, ietverot arī 117.</w:t>
            </w:r>
            <w:r w:rsidR="00000000" w:rsidRPr="00000000" w:rsidDel="00000000">
              <w:rPr>
                <w:vertAlign w:val="superscript"/>
                <w:rtl w:val="0"/>
              </w:rPr>
              <w:t xml:space="preserve">1</w:t>
            </w:r>
            <w:r w:rsidR="00000000" w:rsidRPr="00000000" w:rsidDel="00000000">
              <w:rPr>
                <w:rtl w:val="0"/>
              </w:rPr>
              <w:t xml:space="preserve"> punktu.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Lauku apskatē, dienestam ir pienākums izsniegt sēklaudzētājam lauku apskates protokolu. Tā kā līdz šim netika izmantotas BMP, lai novērtētu šķirnes tīrību, ir jāuzsver, ka var tikt noraidīts lauks arī pēc analīžu rezultātiem, bet pēcpārbaudes gadījumā sēklaudzētājam, sēklu sagatavotājam, saiņotājam vai tirgotājam dienests paziņo lēmumu par to, ka šķirne neatbilst identitātei.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Pēcpārbaudē dienesta inspektors pārliecinās tikai par sēklu šķirnes identitāti un tīrību, savukārt lauku apskatē novērtē sēklaudzēšanas lauku vispārējo stāvokli, sēklaudzēšanai noteikto prasību ievērošanu, šķirnes tīrību, sēklu kvalitāti apliecinošos dokumentus, ierakstus lauku vēsturē, attiecīgās šķirnes morfoloģisko aprakstu un citu attiecīgo sugas šķirņu klāstu saimniecībā. Noteikumu 30. punktā noteikts, ka lauku apskates laikā dienesta inspektors pārliecinās par sējumā esošas šķirnes identitāti (atbilstību oficiālajam šķirnes aprakstam). Ja šķirnes identitāte neatbilst pieteiktajam šķirnes nosaukumam, dienesta inspektors sējumu atzīst par sēklaudzēšanai neizmantojamu. Iegūtā raža netiek iekļauta turpmākajā sēklu novērtēšanā. Noteikumu projekta 39. punktā  ir ietverta iekšējā atsauce uz 38.</w:t>
            </w:r>
            <w:r w:rsidR="00000000" w:rsidRPr="00000000" w:rsidDel="00000000">
              <w:rPr>
                <w:vertAlign w:val="superscript"/>
                <w:rtl w:val="0"/>
              </w:rPr>
              <w:t xml:space="preserve">1</w:t>
            </w:r>
            <w:r w:rsidR="00000000" w:rsidRPr="00000000" w:rsidDel="00000000">
              <w:rPr>
                <w:rtl w:val="0"/>
              </w:rPr>
              <w:t xml:space="preserve"> punktu, jo noteikumos ir nepieciešams uzsvērt, ka inspektors var noraidīt neatbilstošu sēklaudzēšanas lauku tad, ja šaubu gadījumā izmantotais BMP ir parādījis, ka šķirnes identitāte ir neatbilstoša. Lauku apskates laikā inspektoram ir kontakts ar sēklaudzētāju, bet pēcpārbaude notiek oficiālā vietā nākamajā sēklaudzēšanas sezonā, un, kā jau minēts noteikumu 118. punktā, dienests informē sēklaudzētāju, tirgotāju, sēklu sagatavotāju vai saiņotāju, ja ir konstatēta šķirnes identitātes neatbilstība, pat ja lauku apskatē ir konstatēta atbilstoša kvalitāte sēklaudzēšanas laukam.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117.</w:t>
            </w:r>
            <w:r w:rsidR="00000000" w:rsidRPr="00000000" w:rsidDel="00000000">
              <w:rPr>
                <w:vertAlign w:val="superscript"/>
                <w:rtl w:val="0"/>
              </w:rPr>
              <w:t xml:space="preserve">1</w:t>
            </w:r>
            <w:r w:rsidR="00000000" w:rsidRPr="00000000" w:rsidDel="00000000">
              <w:rPr>
                <w:rtl w:val="0"/>
              </w:rPr>
              <w:t xml:space="preserve"> Ja pēc šajā nodaļā minētās šķirnes identitātes pārbaudes joprojām pastāv šaubas par sēklu šķirnes identitāti, Valsts augu aizsardzības dienests identitātes pārbaudei var izmantot starptautiski atzītu un reproducējamu bioķīmisku vai molekulāru paņēmienu saskaņā ar piemērojamajiem starptautiskajiem standartiem.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aizpildīt anotācijas 3.sadaļas 5.1.apakšpunktu.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Jautājumu par papildu valsts budžeta līdzekļu piešķiršanu noteikumu projektā paredzēto pasākumu īstenošanai Valsts augu aizsardzības dienestam 2023.gadam un turpmāk ik gadu izskatīt Ministru kabinetā likumprojekta "Par valsts budžetu 2023.gadam" un likumprojekta "Par vidējā termiņa budžeta ietvaru 2023., 2024. un 2025.gadam" sagatavošanas un izskatīšanas procesā kopā ar visu ministriju un citu centrālo valsts iestāžu iesniegtajiem prioritāro pasākumu pieteikumiem atbilstoši valsts budžeta finansiālajām iespējām.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protokollēmuma projekta 3.punktu atbilstoši piedāvātajai redakcijai.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Jautājumu par papildu valsts budžeta līdzekļu piešķiršanu Zemkopības ministrijai (Valsts augu aizsardzības dienestam) noteikumu projektā paredzēto pasākumu īstenošanai saistībā ar  Kultūraugu uzraudzības valsts informācijas sistēmas papildināšanu un laboratorijas iekārtu un reaģentu iegādi bioķīmisku un molekulāru paņēmienu izmantošanā lauku apskatēm un pēcpārbaudēm 2023. gadā 3 820 euro, 2024. gadā 1 500 euro, 2025. gadā 105 813 euro un turpmāk ik gadu 32 813 euro apmērā izskatīt Ministru kabinetā likumprojekta "Par valsts budžetu 2023. gadam" un likumprojekta "Par vidējā termiņa budžeta ietvaru 2023., 2024. un 2025. gadam" sagatavošanas un izskatīšanas procesā kopā ar visu ministriju un citu centrālo valsts iestāžu iesniegtajiem prioritāro pasākumu pieteikumiem atbilstoši valsts budžeta finansiālajām iespējām.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Jautājumu par papildu valsts budžeta līdzekļu piešķiršanu Zemkopības ministrijai (Valsts augu aizsardzības dienestam) noteikumu projektā paredzēto pasākumu īstenošanai saistībā ar  Kultūraugu uzraudzības valsts informācijas sistēmas papildināšanu un laboratorijas iekārtu un reaģentu iegādi bioķīmisku un molekulāru paņēmienu izmantošanā lauku apskatēm un pēcpārbaudēm 2023. gadā 3 820 </w:t>
            </w:r>
            <w:r w:rsidR="00000000" w:rsidRPr="00000000" w:rsidDel="00000000">
              <w:rPr>
                <w:i w:val="1"/>
                <w:rtl w:val="0"/>
              </w:rPr>
              <w:t xml:space="preserve">euro</w:t>
            </w:r>
            <w:r w:rsidR="00000000" w:rsidRPr="00000000" w:rsidDel="00000000">
              <w:rPr>
                <w:rtl w:val="0"/>
              </w:rPr>
              <w:t xml:space="preserve">, 2024. gadā 1 500 </w:t>
            </w:r>
            <w:r w:rsidR="00000000" w:rsidRPr="00000000" w:rsidDel="00000000">
              <w:rPr>
                <w:i w:val="1"/>
                <w:rtl w:val="0"/>
              </w:rPr>
              <w:t xml:space="preserve">euro</w:t>
            </w:r>
            <w:r w:rsidR="00000000" w:rsidRPr="00000000" w:rsidDel="00000000">
              <w:rPr>
                <w:rtl w:val="0"/>
              </w:rPr>
              <w:t xml:space="preserve">, 2025. gadā 105 813 </w:t>
            </w:r>
            <w:r w:rsidR="00000000" w:rsidRPr="00000000" w:rsidDel="00000000">
              <w:rPr>
                <w:i w:val="1"/>
                <w:rtl w:val="0"/>
              </w:rPr>
              <w:t xml:space="preserve">euro</w:t>
            </w:r>
            <w:r w:rsidR="00000000" w:rsidRPr="00000000" w:rsidDel="00000000">
              <w:rPr>
                <w:rtl w:val="0"/>
              </w:rPr>
              <w:t xml:space="preserve"> un turpmāk ik gadu 32 813 </w:t>
            </w:r>
            <w:r w:rsidR="00000000" w:rsidRPr="00000000" w:rsidDel="00000000">
              <w:rPr>
                <w:i w:val="1"/>
                <w:rtl w:val="0"/>
              </w:rPr>
              <w:t xml:space="preserve">euro</w:t>
            </w:r>
            <w:r w:rsidR="00000000" w:rsidRPr="00000000" w:rsidDel="00000000">
              <w:rPr>
                <w:rtl w:val="0"/>
              </w:rPr>
              <w:t xml:space="preserve"> apmērā izskatīt Ministru kabinetā likumprojekta "Par valsts budžetu 2023. gadam" un likumprojekta "Par vidējā termiņa budžeta ietvaru 2023., 2024. un 2025. gadam" sagatavošanas un izskatīšanas procesā kopā ar visu ministriju un citu centrālo valsts iestāžu iesniegtajiem prioritāro pasākumu pieteikumiem atbilstoši valsts budžeta finansiālajām iespējām.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100. Persona, kas nodarbojas ar sēklaudzēšanu, sēklu sagatavošanu, saiņošanu vai tirgošanu, kārto sēklu uzskaites žurnālu. Sēklu uzskaites žurnālā reģistrē visus attiecīgās sugas un šķirnes sēklu sagatavošanas posmus un izmantošanas veidus, norādot katrā darbībā izmantoto sēklu daudzumu kilogramos. Ja sēkla tiek pārdota, sēklu uzskaites žurnālā norāda informāciju par pircēju (juridiskai personai – nosaukumu un reģistrācijas numuru, fiziskai personai – vārdu, uzvārdu un personas kodu). Ja tiek pārdota šo noteikumu </w:t>
            </w:r>
            <w:r w:rsidR="00000000" w:rsidRPr="00000000" w:rsidDel="00000000">
              <w:rPr>
                <w:rtl w:val="0"/>
              </w:rPr>
              <w:t xml:space="preserve">66.</w:t>
            </w:r>
            <w:r w:rsidR="00000000" w:rsidRPr="00000000" w:rsidDel="00000000">
              <w:rPr>
                <w:vertAlign w:val="superscript"/>
                <w:rtl w:val="0"/>
              </w:rPr>
              <w:t xml:space="preserve">2</w:t>
            </w:r>
            <w:r w:rsidR="00000000" w:rsidRPr="00000000" w:rsidDel="00000000">
              <w:rPr>
                <w:rtl w:val="0"/>
              </w:rPr>
              <w:t xml:space="preserve"> </w:t>
            </w:r>
            <w:r w:rsidR="00000000" w:rsidRPr="00000000" w:rsidDel="00000000">
              <w:rPr>
                <w:rtl w:val="0"/>
              </w:rPr>
              <w:t xml:space="preserve">punktā</w:t>
            </w:r>
            <w:r w:rsidR="00000000" w:rsidRPr="00000000" w:rsidDel="00000000">
              <w:rPr>
                <w:rtl w:val="0"/>
              </w:rPr>
              <w:t xml:space="preserve"> minētā sēkla nelielos iesaiņojumos, tirgotājam sēklu uzskaites žurnālā nav jānorāda informācija par pircēju.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noteikumu projekta 1.7. apakšpunktā paredzēto noteikumu 100. punkta papildinājumu izteikt vienkāršajā tagadnē saskaņā ar juridiskās tehnikas prasībām (salīdzinājumam sk. šobrīd saskaņošanā esošo noteikumu projekta “Grozījumi Ministru kabineta 2009. gada 17. februāra noteikumos Nr. 152 "Lopbarības augu sēklaudzēšanas un sēklu tirdzniecības noteikumi"” (22-TA-745) 1.4. 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100. Persona, kas nodarbojas ar sēklaudzēšanu, sēklu sagatavošanu, saiņošanu vai tirgošanu, kārto sēklu uzskaites žurnālu. Sēklu uzskaites žurnālā reģistrē visus attiecīgās sugas un šķirnes sēklu sagatavošanas posmus un izmantošanas veidus, norādot katrā darbībā izmantoto sēklu daudzumu kilogramos. Ja sēkla tiek pārdota, sēklu uzskaites žurnālā norāda informāciju par pircēju (juridiskai personai – nosaukumu un reģistrācijas numuru, fiziskai personai – vārdu, uzvārdu un personas kodu). Ja tiek pārdotas šo noteikumu </w:t>
            </w:r>
            <w:r w:rsidR="00000000" w:rsidRPr="00000000" w:rsidDel="00000000">
              <w:rPr>
                <w:rtl w:val="0"/>
              </w:rPr>
              <w:t xml:space="preserve">66.</w:t>
            </w:r>
            <w:r w:rsidR="00000000" w:rsidRPr="00000000" w:rsidDel="00000000">
              <w:rPr>
                <w:vertAlign w:val="superscript"/>
                <w:rtl w:val="0"/>
              </w:rPr>
              <w:t xml:space="preserve">2</w:t>
            </w:r>
            <w:r w:rsidR="00000000" w:rsidRPr="00000000" w:rsidDel="00000000">
              <w:rPr>
                <w:rtl w:val="0"/>
              </w:rPr>
              <w:t xml:space="preserve"> </w:t>
            </w:r>
            <w:r w:rsidR="00000000" w:rsidRPr="00000000" w:rsidDel="00000000">
              <w:rPr>
                <w:rtl w:val="0"/>
              </w:rPr>
              <w:t xml:space="preserve">punktā</w:t>
            </w:r>
            <w:r w:rsidR="00000000" w:rsidRPr="00000000" w:rsidDel="00000000">
              <w:rPr>
                <w:rtl w:val="0"/>
              </w:rPr>
              <w:t xml:space="preserve"> minētās sēklas nelielos iesaiņojumos, tirgotājam sēklu uzskaites žurnālā nav jānorāda informācija par pircēju.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125. Valsts augu aizsardzības dienests katru gadu apkopo informāciju par iepriekšējā gada rezultātiem attiecībā uz saražotās kviešu hibrīdās sēklas daudzumu, lauka apskašu atbilstību šajos noteikumos noteiktajām prasībām, sēklu partiju pēcpārbaužu rezultātiem, to sēklu partiju procentuālo daudzumu, kas nav atzītas par atbilstošām šo noteikumu noteiktajām prasībām, un jebkuru citu informāciju, kas pamato sēklu partiju noraidīšanu, un apkopoto informāciju līdz kārtējā gada 28. februārim nosūta Eiropas Komisijai un citām Eiropas Savienības dalībvalstīm. Valsts augu aizsardzības dienests informāciju apkopo un Eiropas Komisijai un citām Eiropas Savienības dalībvalstīm nosūta līdz 2030. gada 28. februārim.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izmaiņas noteikumu 121.-124. punktā pēc būtības nav paredzētas, aicinām izvērtēt iespēju nevis izteikt visu XII nodaļu jaunā redakcijā, bet gan papildināt noteikumus ar 125. un 126. punktu. Papildus aicinām 125. punktā precizēt, par kādu periodu (kādu gadu) dienests katru gadu apkopo informāciju (piemēram, par iepriekšējo kalendāro gadu).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TAP portāls automātiski izsaka XII nodaļu jaunā redakcijā, jo tiek mainīts nodaļas nosaukums no "Noslēguma jautājums" uz "Noslēguma jautājumi". Šo  nav iespējams mainīt manuāli.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125. punktā ir noteikts, ka "Valsts augu aizsardzības dienests katru gadu apkopo informāciju par </w:t>
            </w:r>
            <w:r w:rsidR="00000000" w:rsidRPr="00000000" w:rsidDel="00000000">
              <w:rPr>
                <w:b w:val="1"/>
                <w:rtl w:val="0"/>
              </w:rPr>
              <w:t xml:space="preserve">iepriekšējā gada rezultātiem</w:t>
            </w:r>
            <w:r w:rsidR="00000000" w:rsidRPr="00000000" w:rsidDel="00000000">
              <w:rPr>
                <w:rtl w:val="0"/>
              </w:rPr>
              <w:t xml:space="preserve">". Tātad dienests apkopo informāciju par iepriekšējā gada sēklaudzēšanas rezultātiem.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125. Valsts augu aizsardzības dienests katru gadu apkopo informāciju par iepriekšējā gada rezultātiem attiecībā uz saražotās kviešu hibrīdās sēklas daudzumu, lauka apskašu atbilstību šajos noteikumos noteiktajām prasībām, sēklu partiju pēcpārbaužu rezultātiem, to sēklu partiju procentuālo daudzumu, kas nav atzītas par atbilstošām šo noteikumu noteiktajām prasībām, un jebkuru citu informāciju, kas pamato sēklu partiju noraidīšanu, un apkopoto informāciju līdz kārtējā gada 28. februārim nosūta Eiropas Komisijai un citām Eiropas Savienības dalībvalstīm. Valsts augu aizsardzības dienests informāciju apkopo un Eiropas Komisijai un citām Eiropas Savienības dalībvalstīm nosūta līdz 2030. gada 28. februārim.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vai precizējumi noteikumu 3. pielikuma 5.4. un 7.6. apakšpunktā (attiecīgi arī papildinājums 8.5. apakšpunktā) ir korekti, ņemot vērā, ka pašlaik spēkā esošā minēto apakšpunktu redakcija paredz pozitīva rezultāta saņemšanu, lai sēklas atbilstu sertificētu sēklu kategorijai, savukārt saskaņā ar paredzētajām izmaiņām sēklas atbilst sertificētu sēklu kategorijai pēc pēcpārbaudes (nevis pozitīva rezultāta saņemšanas) veikšanas. Nepieciešamības gadījumā aicinām precizēt projektu.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aicinām noteikumu 3. pielikuma 8.1. apakšpunktā ievērot vienveidīgu stilistiku ar pārējām pielikuma normām (piemēram, 7.1. un 7.2. apakšpunkts) un teikuma daļu “augu skaits, kuri, vizuāli novērtējot, tiek atzīti par tipam neatbilstošiem, nedrīkst pārsniegt šādus rādītājus” veidot kā jaunu apakšpunktu, kā arī 8.1.1. un 8.1.2. veidot stilistiski līdzīgi kā, piemēram, 7.2.1. un 7.2.2. 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Bija nepieciešami redakcionāli grozījumi iepriekšminētajos punktos (noteikumu 3. pielikuma 5.4. un 7.6. apakšpunktā un noteikumu projektā, kas papildina noteikumus ar 8.5. apakšpunktu), jo Valsts augu aizsardzības dienests (turpmāk – dienests) nepiešķir kategoriju, bet izvērtē sēklu materiāla atbilstību kategorijai. Termins “pozitīvs rezultāts” nav vērtējums pēc kura vadās dienests, lai noteiktu sēklu partijas atbilstību attiecīgajai šķirnei un tīrībai.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Svarīgi ir veikt pēcpārbaudi, kuras laikā pārliecinās, ka sēkla materiāls atbilst noteikumos noteiktajām prasībām, kā arī identitātes un tīrības prasībām, kas noteiktas noteikumu 3.pielikumā. Pēc pēcpārbaudes kontrollauciņos dienests pieņem lēmumu, vai sēklu partija ir atbilstoša un informē sēklaudzētāju, sēklu sagatavotāju, saiņotāju vai tirgotāju.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3. pielikuma 8.1. apakšpunktā ievietotā tabula (8.1.1. un 8.1.2. apakšpunkts) veidota tā, lai informācija būtu pārskatāmāka un vieglāk uztverama.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Teikuma daļa “augu skaits, kuri, vizuāli novērtējot, tiek atzīti par tipam neatbilstošiem, nedrīkst pārsniegt šādus rādītājus” tiks veidota kā jauns apakšpunkts, kā arī 7.2. apakšpunkta 7.2.1. un 7.2.2. apakšpunktu tiks attēloti tabulas formā.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22-TA-701</w:t>
    </w:r>
    <w:r>
      <w:br/>
    </w:r>
    <w:r w:rsidR="00000000" w:rsidRPr="00000000" w:rsidDel="00000000">
      <w:rPr>
        <w:rtl w:val="0"/>
      </w:rPr>
      <w:t xml:space="preserve">05.07.2022. 12.30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22-TA-701</w:t>
    </w:r>
    <w:r>
      <w:br/>
    </w:r>
    <w:r w:rsidR="00000000" w:rsidRPr="00000000" w:rsidDel="00000000">
      <w:rPr>
        <w:rtl w:val="0"/>
      </w:rPr>
      <w:t xml:space="preserve">05.07.2022. 12.30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Izziņa_22-TA-701.docx</dc:title>
</cp:coreProperties>
</file>

<file path=docProps/custom.xml><?xml version="1.0" encoding="utf-8"?>
<Properties xmlns="http://schemas.openxmlformats.org/officeDocument/2006/custom-properties" xmlns:vt="http://schemas.openxmlformats.org/officeDocument/2006/docPropsVTypes"/>
</file>