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024DF" w14:textId="3805B8B9" w:rsidR="000B7919" w:rsidRPr="00E44C66" w:rsidRDefault="000B7919" w:rsidP="000B7919">
      <w:pPr>
        <w:jc w:val="center"/>
        <w:rPr>
          <w:b/>
          <w:bCs/>
          <w:lang w:eastAsia="ru-RU"/>
        </w:rPr>
      </w:pPr>
      <w:r w:rsidRPr="00E44C66">
        <w:rPr>
          <w:b/>
          <w:lang w:eastAsia="ru-RU"/>
        </w:rPr>
        <w:t>Ministru kabineta rīkojuma projekta „</w:t>
      </w:r>
      <w:r w:rsidRPr="00E44C66">
        <w:t xml:space="preserve"> </w:t>
      </w:r>
      <w:r w:rsidRPr="00E44C66">
        <w:rPr>
          <w:b/>
          <w:lang w:eastAsia="ru-RU"/>
        </w:rPr>
        <w:t>Par atļauju akciju sabiedrībai ''</w:t>
      </w:r>
      <w:r w:rsidR="00DB575F" w:rsidRPr="00E44C66">
        <w:rPr>
          <w:b/>
          <w:lang w:eastAsia="ru-RU"/>
        </w:rPr>
        <w:t>Augstsprieguma</w:t>
      </w:r>
      <w:r w:rsidRPr="00E44C66">
        <w:rPr>
          <w:b/>
          <w:lang w:eastAsia="ru-RU"/>
        </w:rPr>
        <w:t xml:space="preserve"> tīkls'' iegādāties, attīstīt, pārvaldīt un ekspluatēt elektroenerģijas </w:t>
      </w:r>
      <w:proofErr w:type="spellStart"/>
      <w:r w:rsidRPr="00E44C66">
        <w:rPr>
          <w:b/>
          <w:lang w:eastAsia="ru-RU"/>
        </w:rPr>
        <w:t>uzkrātuves</w:t>
      </w:r>
      <w:proofErr w:type="spellEnd"/>
      <w:r w:rsidRPr="00E44C66">
        <w:rPr>
          <w:b/>
          <w:lang w:eastAsia="ru-RU"/>
        </w:rPr>
        <w:t xml:space="preserve">” </w:t>
      </w:r>
      <w:r w:rsidRPr="00E44C66">
        <w:rPr>
          <w:b/>
          <w:bCs/>
          <w:lang w:eastAsia="ru-RU"/>
        </w:rPr>
        <w:t>sākotnējās ietekmes novērtējuma ziņojums (anotācija)</w:t>
      </w:r>
    </w:p>
    <w:p w14:paraId="6BF330B0" w14:textId="77777777" w:rsidR="000B7919" w:rsidRPr="00E44C66" w:rsidRDefault="000B7919" w:rsidP="000B7919">
      <w:pPr>
        <w:jc w:val="center"/>
        <w:rPr>
          <w:b/>
          <w:bCs/>
          <w:lang w:eastAsia="ru-RU"/>
        </w:rPr>
      </w:pPr>
    </w:p>
    <w:tbl>
      <w:tblPr>
        <w:tblW w:w="5245"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60"/>
        <w:gridCol w:w="6239"/>
      </w:tblGrid>
      <w:tr w:rsidR="000B7919" w:rsidRPr="00E44C66" w14:paraId="69B6A3B8" w14:textId="77777777" w:rsidTr="00A33B8C">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6B9FBA30" w14:textId="77777777" w:rsidR="000B7919" w:rsidRPr="00E44C66" w:rsidRDefault="000B7919" w:rsidP="00A33B8C">
            <w:pPr>
              <w:ind w:firstLine="301"/>
              <w:jc w:val="center"/>
              <w:rPr>
                <w:b/>
                <w:bCs/>
              </w:rPr>
            </w:pPr>
            <w:r w:rsidRPr="00E44C66">
              <w:rPr>
                <w:b/>
                <w:bCs/>
              </w:rPr>
              <w:t>Tiesību akta projekta anotācijas kopsavilkums</w:t>
            </w:r>
          </w:p>
        </w:tc>
      </w:tr>
      <w:tr w:rsidR="000B7919" w:rsidRPr="00E44C66" w14:paraId="1D2BE4EE" w14:textId="77777777" w:rsidTr="00A33B8C">
        <w:tc>
          <w:tcPr>
            <w:tcW w:w="1716" w:type="pct"/>
            <w:tcBorders>
              <w:top w:val="outset" w:sz="6" w:space="0" w:color="414142"/>
              <w:left w:val="outset" w:sz="6" w:space="0" w:color="414142"/>
              <w:bottom w:val="outset" w:sz="6" w:space="0" w:color="414142"/>
              <w:right w:val="outset" w:sz="6" w:space="0" w:color="414142"/>
            </w:tcBorders>
            <w:hideMark/>
          </w:tcPr>
          <w:p w14:paraId="1EB3B36C" w14:textId="77777777" w:rsidR="000B7919" w:rsidRPr="00E44C66" w:rsidRDefault="000B7919" w:rsidP="00A33B8C">
            <w:pPr>
              <w:jc w:val="both"/>
            </w:pPr>
            <w:r w:rsidRPr="00E44C66">
              <w:t>Mērķis, risinājums un projekta spēkā stāšanās laiks (500 zīmes bez atstarpēm)</w:t>
            </w:r>
          </w:p>
        </w:tc>
        <w:tc>
          <w:tcPr>
            <w:tcW w:w="3284" w:type="pct"/>
            <w:tcBorders>
              <w:top w:val="outset" w:sz="6" w:space="0" w:color="414142"/>
              <w:left w:val="outset" w:sz="6" w:space="0" w:color="414142"/>
              <w:bottom w:val="outset" w:sz="6" w:space="0" w:color="414142"/>
              <w:right w:val="outset" w:sz="6" w:space="0" w:color="414142"/>
            </w:tcBorders>
            <w:hideMark/>
          </w:tcPr>
          <w:p w14:paraId="5BB09022" w14:textId="77777777" w:rsidR="002B3405" w:rsidRPr="00E44C66" w:rsidRDefault="002B3405" w:rsidP="002B3405">
            <w:pPr>
              <w:ind w:firstLine="403"/>
              <w:jc w:val="both"/>
            </w:pPr>
            <w:r w:rsidRPr="00E44C66">
              <w:t xml:space="preserve">Projekts paredz atļaujas piešķiršanu AS ''Augstsprieguma tīkls'' iegādāties, attīstīt, pārvaldīt un ekspluatēt elektroenerģijas </w:t>
            </w:r>
            <w:proofErr w:type="spellStart"/>
            <w:r w:rsidRPr="00E44C66">
              <w:t>uzkrātuves</w:t>
            </w:r>
            <w:proofErr w:type="spellEnd"/>
            <w:r w:rsidRPr="00E44C66">
              <w:t>. Šādas atļaujas nepieciešamība noteikta Eiropas Parlamenta un Padomes 2019. gada 5. jūnija Direktīvā (ES) 2019/944 par kopīgiem noteikumiem attiecībā uz elektroenerģijas iekšējo tirgu un ar ko groza Direktīvu 2012/27/ES (turpmāk -  Direktīva), kuras normas nacionālajos tiesību aktos vēl nav pārņemtas.</w:t>
            </w:r>
          </w:p>
          <w:p w14:paraId="1966F0AD" w14:textId="1F9649D6" w:rsidR="000B7919" w:rsidRPr="00E44C66" w:rsidRDefault="002B3405" w:rsidP="002B3405">
            <w:pPr>
              <w:ind w:firstLine="403"/>
              <w:jc w:val="both"/>
            </w:pPr>
            <w:r w:rsidRPr="00E44C66">
              <w:t>Projekts stājas spēkā Administratīvā procesa likumā noteiktajā kārtībā.</w:t>
            </w:r>
          </w:p>
        </w:tc>
      </w:tr>
    </w:tbl>
    <w:p w14:paraId="37FA4E43" w14:textId="77777777" w:rsidR="000B7919" w:rsidRPr="00E44C66" w:rsidRDefault="000B7919" w:rsidP="000B7919">
      <w:pPr>
        <w:jc w:val="center"/>
        <w:rPr>
          <w:b/>
          <w:bCs/>
        </w:rPr>
      </w:pPr>
    </w:p>
    <w:tbl>
      <w:tblPr>
        <w:tblW w:w="5323" w:type="pct"/>
        <w:tblInd w:w="-292"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47"/>
        <w:gridCol w:w="27"/>
        <w:gridCol w:w="2688"/>
        <w:gridCol w:w="422"/>
        <w:gridCol w:w="5815"/>
        <w:gridCol w:w="141"/>
      </w:tblGrid>
      <w:tr w:rsidR="000B7919" w:rsidRPr="00E44C66" w14:paraId="462C4CFB" w14:textId="77777777" w:rsidTr="00A33B8C">
        <w:trPr>
          <w:gridAfter w:val="1"/>
          <w:wAfter w:w="73" w:type="pct"/>
        </w:trPr>
        <w:tc>
          <w:tcPr>
            <w:tcW w:w="4927" w:type="pct"/>
            <w:gridSpan w:val="5"/>
            <w:tcBorders>
              <w:top w:val="single" w:sz="6" w:space="0" w:color="auto"/>
              <w:left w:val="single" w:sz="6" w:space="0" w:color="auto"/>
              <w:bottom w:val="outset" w:sz="6" w:space="0" w:color="000000"/>
              <w:right w:val="single" w:sz="6" w:space="0" w:color="auto"/>
            </w:tcBorders>
            <w:vAlign w:val="center"/>
            <w:hideMark/>
          </w:tcPr>
          <w:p w14:paraId="189924FA" w14:textId="77777777" w:rsidR="000B7919" w:rsidRPr="00E44C66" w:rsidRDefault="000B7919" w:rsidP="00A33B8C">
            <w:pPr>
              <w:pStyle w:val="NormalWeb"/>
              <w:spacing w:before="0" w:beforeAutospacing="0" w:after="0" w:afterAutospacing="0"/>
              <w:jc w:val="center"/>
              <w:rPr>
                <w:b/>
                <w:bCs/>
              </w:rPr>
            </w:pPr>
            <w:r w:rsidRPr="00E44C66">
              <w:rPr>
                <w:b/>
                <w:bCs/>
              </w:rPr>
              <w:t>I. Tiesību akta projekta izstrādes nepieciešamība</w:t>
            </w:r>
          </w:p>
        </w:tc>
      </w:tr>
      <w:tr w:rsidR="000B7919" w:rsidRPr="00E44C66" w14:paraId="2221FBF1" w14:textId="77777777" w:rsidTr="00DB575F">
        <w:trPr>
          <w:gridAfter w:val="1"/>
          <w:wAfter w:w="73" w:type="pct"/>
          <w:trHeight w:val="646"/>
        </w:trPr>
        <w:tc>
          <w:tcPr>
            <w:tcW w:w="284" w:type="pct"/>
            <w:tcBorders>
              <w:top w:val="outset" w:sz="6" w:space="0" w:color="000000"/>
              <w:left w:val="outset" w:sz="6" w:space="0" w:color="000000"/>
              <w:bottom w:val="outset" w:sz="6" w:space="0" w:color="000000"/>
              <w:right w:val="outset" w:sz="6" w:space="0" w:color="000000"/>
            </w:tcBorders>
            <w:hideMark/>
          </w:tcPr>
          <w:p w14:paraId="2C9221EF" w14:textId="77777777" w:rsidR="000B7919" w:rsidRPr="00E44C66" w:rsidRDefault="000B7919" w:rsidP="00A33B8C">
            <w:pPr>
              <w:pStyle w:val="NormalWeb"/>
              <w:spacing w:before="0" w:beforeAutospacing="0" w:after="0" w:afterAutospacing="0"/>
            </w:pPr>
            <w:r w:rsidRPr="00E44C66">
              <w:t>1.</w:t>
            </w:r>
          </w:p>
        </w:tc>
        <w:tc>
          <w:tcPr>
            <w:tcW w:w="1408" w:type="pct"/>
            <w:gridSpan w:val="2"/>
            <w:tcBorders>
              <w:top w:val="outset" w:sz="6" w:space="0" w:color="000000"/>
              <w:left w:val="outset" w:sz="6" w:space="0" w:color="000000"/>
              <w:bottom w:val="outset" w:sz="6" w:space="0" w:color="000000"/>
              <w:right w:val="outset" w:sz="6" w:space="0" w:color="000000"/>
            </w:tcBorders>
            <w:hideMark/>
          </w:tcPr>
          <w:p w14:paraId="7D2CA51D" w14:textId="77777777" w:rsidR="000B7919" w:rsidRPr="00E44C66" w:rsidRDefault="000B7919" w:rsidP="00A33B8C">
            <w:pPr>
              <w:pStyle w:val="NormalWeb"/>
              <w:spacing w:before="0" w:beforeAutospacing="0" w:after="0" w:afterAutospacing="0"/>
            </w:pPr>
            <w:r w:rsidRPr="00E44C66">
              <w:t>Pamatojums</w:t>
            </w:r>
          </w:p>
        </w:tc>
        <w:tc>
          <w:tcPr>
            <w:tcW w:w="3235" w:type="pct"/>
            <w:gridSpan w:val="2"/>
            <w:tcBorders>
              <w:top w:val="outset" w:sz="6" w:space="0" w:color="000000"/>
              <w:left w:val="outset" w:sz="6" w:space="0" w:color="000000"/>
              <w:bottom w:val="outset" w:sz="6" w:space="0" w:color="000000"/>
              <w:right w:val="outset" w:sz="6" w:space="0" w:color="000000"/>
            </w:tcBorders>
            <w:hideMark/>
          </w:tcPr>
          <w:p w14:paraId="34C73AD4" w14:textId="5D5BE882" w:rsidR="000B7919" w:rsidRPr="00E44C66" w:rsidRDefault="002B3405" w:rsidP="00A33B8C">
            <w:pPr>
              <w:ind w:firstLine="361"/>
              <w:jc w:val="both"/>
            </w:pPr>
            <w:r w:rsidRPr="00E44C66">
              <w:t>Administratīvā procesa likuma 15.panta divpadsmitā daļa</w:t>
            </w:r>
            <w:r w:rsidR="000B7919" w:rsidRPr="00E44C66">
              <w:t>.</w:t>
            </w:r>
          </w:p>
          <w:p w14:paraId="6404AB06" w14:textId="0A463829" w:rsidR="000B7919" w:rsidRPr="00E44C66" w:rsidRDefault="002B3405" w:rsidP="00E44C66">
            <w:pPr>
              <w:spacing w:before="120"/>
              <w:ind w:firstLine="363"/>
              <w:jc w:val="both"/>
            </w:pPr>
            <w:r w:rsidRPr="00E44C66">
              <w:t xml:space="preserve">AS ''Augstsprieguma tīkls'' 2021.gada </w:t>
            </w:r>
            <w:r w:rsidR="00DB575F">
              <w:t>1.septembra</w:t>
            </w:r>
            <w:r w:rsidRPr="00E44C66">
              <w:t xml:space="preserve"> iesniegums Finanšu ministrijai.</w:t>
            </w:r>
          </w:p>
        </w:tc>
      </w:tr>
      <w:tr w:rsidR="000B7919" w:rsidRPr="00E44C66" w14:paraId="0A42ABA8" w14:textId="77777777" w:rsidTr="00DB575F">
        <w:trPr>
          <w:gridAfter w:val="1"/>
          <w:wAfter w:w="73" w:type="pct"/>
        </w:trPr>
        <w:tc>
          <w:tcPr>
            <w:tcW w:w="284" w:type="pct"/>
            <w:tcBorders>
              <w:top w:val="outset" w:sz="6" w:space="0" w:color="000000"/>
              <w:left w:val="outset" w:sz="6" w:space="0" w:color="000000"/>
              <w:bottom w:val="outset" w:sz="6" w:space="0" w:color="000000"/>
              <w:right w:val="outset" w:sz="6" w:space="0" w:color="000000"/>
            </w:tcBorders>
            <w:hideMark/>
          </w:tcPr>
          <w:p w14:paraId="0CCB2292" w14:textId="77777777" w:rsidR="000B7919" w:rsidRPr="00E44C66" w:rsidRDefault="000B7919" w:rsidP="00A33B8C">
            <w:pPr>
              <w:pStyle w:val="NormalWeb"/>
              <w:spacing w:before="0" w:beforeAutospacing="0" w:after="0" w:afterAutospacing="0"/>
            </w:pPr>
            <w:r w:rsidRPr="00E44C66">
              <w:t>2.</w:t>
            </w:r>
          </w:p>
        </w:tc>
        <w:tc>
          <w:tcPr>
            <w:tcW w:w="1408" w:type="pct"/>
            <w:gridSpan w:val="2"/>
            <w:tcBorders>
              <w:top w:val="outset" w:sz="6" w:space="0" w:color="000000"/>
              <w:left w:val="outset" w:sz="6" w:space="0" w:color="000000"/>
              <w:bottom w:val="outset" w:sz="6" w:space="0" w:color="000000"/>
              <w:right w:val="outset" w:sz="6" w:space="0" w:color="000000"/>
            </w:tcBorders>
            <w:hideMark/>
          </w:tcPr>
          <w:p w14:paraId="67FA0298" w14:textId="77777777" w:rsidR="000B7919" w:rsidRPr="00E44C66" w:rsidRDefault="000B7919" w:rsidP="00A33B8C">
            <w:pPr>
              <w:pStyle w:val="NormalWeb"/>
              <w:spacing w:before="0" w:beforeAutospacing="0" w:after="0" w:afterAutospacing="0"/>
            </w:pPr>
            <w:r w:rsidRPr="00E44C66">
              <w:t>Pašreizējā situācija un problēmas, kuru risināšanai tiesību akta projekts izstrādāts, tiesiskā regulējuma mērķis un būtība</w:t>
            </w:r>
          </w:p>
        </w:tc>
        <w:tc>
          <w:tcPr>
            <w:tcW w:w="3235" w:type="pct"/>
            <w:gridSpan w:val="2"/>
            <w:tcBorders>
              <w:top w:val="outset" w:sz="6" w:space="0" w:color="000000"/>
              <w:left w:val="outset" w:sz="6" w:space="0" w:color="000000"/>
              <w:bottom w:val="outset" w:sz="6" w:space="0" w:color="000000"/>
              <w:right w:val="outset" w:sz="6" w:space="0" w:color="000000"/>
            </w:tcBorders>
          </w:tcPr>
          <w:p w14:paraId="4ECDBA2C" w14:textId="32C00BA1" w:rsidR="00526224" w:rsidRPr="00E44C66" w:rsidRDefault="00526224" w:rsidP="002B3405">
            <w:pPr>
              <w:jc w:val="both"/>
            </w:pPr>
            <w:r w:rsidRPr="00E44C66">
              <w:t>AS ''Augstsprieguma tīkls'' (turpmāk - AST) saistībā ar sagaidāmo Baltijas valstu elektroenerģijas sistēmu sinhronizāciju ar Kontinentālās Eiropas elektroenerģijas sistēmu 2025.gadā (turpmāk - Sinhronizācija), būs nepieciešams nodrošināt balansēšanas jaudas rezerves.</w:t>
            </w:r>
          </w:p>
          <w:p w14:paraId="5DC71135" w14:textId="6723F68A" w:rsidR="00526224" w:rsidRPr="00E44C66" w:rsidRDefault="00526224" w:rsidP="002B3405">
            <w:pPr>
              <w:jc w:val="both"/>
            </w:pPr>
            <w:r w:rsidRPr="00E44C66">
              <w:t xml:space="preserve">Kontinentālajā Eiropā šāda veida </w:t>
            </w:r>
            <w:proofErr w:type="spellStart"/>
            <w:r w:rsidRPr="00E44C66">
              <w:t>palīgpakalpojumus</w:t>
            </w:r>
            <w:proofErr w:type="spellEnd"/>
            <w:r w:rsidRPr="00E44C66">
              <w:t xml:space="preserve"> pārvades sistēmas operatori iepērk speciāli organizētā rezervju tirgū, bet Baltijā šāds tirgus šobrīd neeksistē. Attiecīgi AST, izvērtējot iespējamos attīstības scenārijus, ir apsvēris iespēju iegādāties, uzstādīt un ekspluatēt elektroenerģijas </w:t>
            </w:r>
            <w:proofErr w:type="spellStart"/>
            <w:r w:rsidRPr="00E44C66">
              <w:t>uzkrātuves</w:t>
            </w:r>
            <w:proofErr w:type="spellEnd"/>
            <w:r w:rsidRPr="00E44C66">
              <w:t xml:space="preserve">. </w:t>
            </w:r>
          </w:p>
          <w:p w14:paraId="6C690B9E" w14:textId="67682380" w:rsidR="002B3405" w:rsidRPr="00E44C66" w:rsidRDefault="00801DD0" w:rsidP="002B3405">
            <w:pPr>
              <w:jc w:val="both"/>
            </w:pPr>
            <w:r w:rsidRPr="00E44C66">
              <w:t xml:space="preserve">Lai pārvades sistēmas operators iegādātos, attīstītu, pārvaldītu un ekspluatētu elektroenerģijas </w:t>
            </w:r>
            <w:proofErr w:type="spellStart"/>
            <w:r w:rsidRPr="00E44C66">
              <w:t>uzkrātuves</w:t>
            </w:r>
            <w:proofErr w:type="spellEnd"/>
            <w:r w:rsidRPr="00E44C66">
              <w:t>, tam s</w:t>
            </w:r>
            <w:r w:rsidR="00526224" w:rsidRPr="00E44C66">
              <w:t>askaņā ar Direktīvas 54.pantu</w:t>
            </w:r>
            <w:r w:rsidRPr="00E44C66">
              <w:t>, izpildot pantā minētos nosacījumus,</w:t>
            </w:r>
            <w:r w:rsidR="00526224" w:rsidRPr="00E44C66">
              <w:t xml:space="preserve"> </w:t>
            </w:r>
            <w:r w:rsidRPr="00E44C66">
              <w:t>nepieciešams saņemt nacionālās regulatīvās iestādes atļauju</w:t>
            </w:r>
            <w:r w:rsidR="002B3405" w:rsidRPr="00E44C66">
              <w:t>, kas Latvijā enerģētikas nozarē ir Sabiedrisko pakalpojumu regulēšanas komisija</w:t>
            </w:r>
            <w:r w:rsidRPr="00E44C66">
              <w:t xml:space="preserve"> (turpmāk - Regulators)</w:t>
            </w:r>
            <w:r w:rsidR="002B3405" w:rsidRPr="00E44C66">
              <w:t>.</w:t>
            </w:r>
          </w:p>
          <w:p w14:paraId="7F677D2A" w14:textId="30DB3137" w:rsidR="00801DD0" w:rsidRPr="00E44C66" w:rsidRDefault="002B3405" w:rsidP="002B3405">
            <w:pPr>
              <w:jc w:val="both"/>
            </w:pPr>
            <w:r w:rsidRPr="00E44C66">
              <w:t xml:space="preserve">Tā </w:t>
            </w:r>
            <w:r w:rsidR="00DB575F">
              <w:t xml:space="preserve">kā </w:t>
            </w:r>
            <w:r w:rsidRPr="00E44C66">
              <w:t>Direktīvas normas nav pārņemtas nacionālajos tiesību aktos un iestājies Direktīvas transponēšanas termiņš,</w:t>
            </w:r>
            <w:r w:rsidR="00801DD0" w:rsidRPr="00E44C66">
              <w:t xml:space="preserve"> Regulators savā 2021.gada 27.augusta vēstulē Nr. 1-2.40/2435 informējis, ka jautājumu par atļaujas piešķiršanu AST pēc būtības izskatīt nevar un aicinājis jautājumu, pamatojoties uz  Administratīvā procesa likuma 15.panta divpadsmito daļu, izskatīt Ministru kabinetā.</w:t>
            </w:r>
          </w:p>
          <w:p w14:paraId="252C23D6" w14:textId="77777777" w:rsidR="000B7919" w:rsidRPr="00E44C66" w:rsidRDefault="00801DD0" w:rsidP="00F41409">
            <w:pPr>
              <w:jc w:val="both"/>
            </w:pPr>
            <w:r w:rsidRPr="00E44C66">
              <w:t xml:space="preserve">Ņemot vērā, ka Direktīvā minētais ierobežojums pārvades sistēmas operatoram iegādāties, uzstādīt un ekspluatēt elektroenerģijas </w:t>
            </w:r>
            <w:proofErr w:type="spellStart"/>
            <w:r w:rsidRPr="00E44C66">
              <w:t>uzkrātuves</w:t>
            </w:r>
            <w:proofErr w:type="spellEnd"/>
            <w:r w:rsidRPr="00E44C66">
              <w:t xml:space="preserve"> noteikts ar mērķi, lai</w:t>
            </w:r>
            <w:r w:rsidR="00F41409" w:rsidRPr="00E44C66">
              <w:t xml:space="preserve"> pārvades sistēmas operators nepamatoti neierobežotu elektroenerģijas tirgus dalībnieku piedāvājumus nodrošināt balansēšanas jaudas rezerves, pirms atļaujas piešķiršanas vērtējama tirgus dalībnieku </w:t>
            </w:r>
            <w:r w:rsidR="00F41409" w:rsidRPr="00E44C66">
              <w:lastRenderedPageBreak/>
              <w:t>spēja nodrošināt balansēšanas jaudas rezerves 2025.gadā, kas ir plānotais Sinhronizācijas datums.</w:t>
            </w:r>
          </w:p>
          <w:p w14:paraId="67858F70" w14:textId="77777777" w:rsidR="007C07EE" w:rsidRPr="00E44C66" w:rsidRDefault="00F41409" w:rsidP="007C07EE">
            <w:pPr>
              <w:jc w:val="both"/>
            </w:pPr>
            <w:r w:rsidRPr="00E44C66">
              <w:t xml:space="preserve">Šim nolūkam AST kopā ar </w:t>
            </w:r>
            <w:r w:rsidR="007C07EE" w:rsidRPr="00E44C66">
              <w:t>Baltijas pārvades sistēmas operatoriem ''</w:t>
            </w:r>
            <w:proofErr w:type="spellStart"/>
            <w:r w:rsidR="007C07EE" w:rsidRPr="00E44C66">
              <w:t>Litgrid</w:t>
            </w:r>
            <w:proofErr w:type="spellEnd"/>
            <w:r w:rsidR="007C07EE" w:rsidRPr="00E44C66">
              <w:t>'' AB un ''</w:t>
            </w:r>
            <w:proofErr w:type="spellStart"/>
            <w:r w:rsidR="007C07EE" w:rsidRPr="00E44C66">
              <w:t>Elering</w:t>
            </w:r>
            <w:proofErr w:type="spellEnd"/>
            <w:r w:rsidR="007C07EE" w:rsidRPr="00E44C66">
              <w:t>'' veica E</w:t>
            </w:r>
            <w:r w:rsidRPr="00E44C66">
              <w:t>lektroenerģijas balansēšanas jaudas rezervju tirgus izpēti (turpmāk – Tirgus izpēte).</w:t>
            </w:r>
          </w:p>
          <w:p w14:paraId="25D97ADA" w14:textId="77777777" w:rsidR="007C07EE" w:rsidRPr="00E44C66" w:rsidRDefault="007C07EE" w:rsidP="007C07EE">
            <w:pPr>
              <w:jc w:val="both"/>
            </w:pPr>
            <w:r w:rsidRPr="00E44C66">
              <w:t xml:space="preserve">No Tirgus izpētes rezultātiem izriet, ka  ne Latvijā, ne Baltijā kopumā ar esošajiem jaudu resursiem nebūs iespējams nodrošināt automātiskās frekvences atjaunošanas rezerves (turpmāk – </w:t>
            </w:r>
            <w:proofErr w:type="spellStart"/>
            <w:r w:rsidRPr="00E44C66">
              <w:t>aFRR</w:t>
            </w:r>
            <w:proofErr w:type="spellEnd"/>
            <w:r w:rsidRPr="00E44C66">
              <w:t xml:space="preserve">) un manuālās frekvences atjaunošanas rezerves (turpmāk – </w:t>
            </w:r>
            <w:proofErr w:type="spellStart"/>
            <w:r w:rsidRPr="00E44C66">
              <w:t>mFRR</w:t>
            </w:r>
            <w:proofErr w:type="spellEnd"/>
            <w:r w:rsidRPr="00E44C66">
              <w:t>). Esošie resursi frekvences noturēšanas rezervju (turpmāk – FCR) varētu būt pietiekami, ja balansēšanas jaudas rezerves tiktu nodrošinātas Baltijas slodzes/frekvences kontroles blokā.</w:t>
            </w:r>
          </w:p>
          <w:p w14:paraId="6B01970C" w14:textId="6BC33EA7" w:rsidR="007C07EE" w:rsidRPr="00E44C66" w:rsidRDefault="007C07EE" w:rsidP="007C07EE">
            <w:pPr>
              <w:jc w:val="both"/>
              <w:rPr>
                <w:u w:val="single"/>
              </w:rPr>
            </w:pPr>
            <w:r w:rsidRPr="00E44C66">
              <w:t xml:space="preserve">AST </w:t>
            </w:r>
            <w:r w:rsidRPr="00DB575F">
              <w:t xml:space="preserve">savā 2021.gada </w:t>
            </w:r>
            <w:r w:rsidR="00DB575F" w:rsidRPr="00DB575F">
              <w:t>1.septembra</w:t>
            </w:r>
            <w:r w:rsidRPr="00DB575F">
              <w:t xml:space="preserve"> iesniegumā norādījis</w:t>
            </w:r>
            <w:r w:rsidRPr="00E44C66">
              <w:t xml:space="preserve">, ka Tirgus izpētes ietvaros tirgus simulācija tika veikta, teorētiski sadalot elektroenerģijas tirgus dalībnieku elektroenerģijas ražošanas resursu potenciālās tehniskās spējas pa balansēšanas jaudas rezervju veidiem. Proti, ja tirgus dalībnieks piedalās viena balansēšanas jaudas rezervju veida nodrošināšanā, tiek izslēgtas konkrētās tirgus dalībnieka jaudas izmantošanas iespējas nodrošināt cita veida balansēšanas jaudas rezerves. Līdz ar to, ņemot vērā FCR un </w:t>
            </w:r>
            <w:proofErr w:type="spellStart"/>
            <w:r w:rsidRPr="00E44C66">
              <w:t>aFRR</w:t>
            </w:r>
            <w:proofErr w:type="spellEnd"/>
            <w:r w:rsidRPr="00E44C66">
              <w:t xml:space="preserve"> rezervju nozīmīgumu frekvences pārvaldības procesa drošā un efektīvā īstenošanā, kā arī apstākli, ka FCR un </w:t>
            </w:r>
            <w:proofErr w:type="spellStart"/>
            <w:r w:rsidRPr="00DB575F">
              <w:t>aFRR</w:t>
            </w:r>
            <w:proofErr w:type="spellEnd"/>
            <w:r w:rsidRPr="00DB575F">
              <w:t xml:space="preserve"> tirgus Baltijā šobrīd nav izveidots, AST kā Latvijas pārvades sistēmas operators uzskata, ka jāpieliek visas saprātīgās pūles, lai primāri, sākot ar 2025.gadu, nodrošinātu FCR un </w:t>
            </w:r>
            <w:proofErr w:type="spellStart"/>
            <w:r w:rsidRPr="00DB575F">
              <w:t>aFRR</w:t>
            </w:r>
            <w:proofErr w:type="spellEnd"/>
            <w:r w:rsidRPr="00DB575F">
              <w:t xml:space="preserve"> rezerves.</w:t>
            </w:r>
          </w:p>
          <w:p w14:paraId="1B7D5EF9" w14:textId="77777777" w:rsidR="007C07EE" w:rsidRPr="00E44C66" w:rsidRDefault="007C07EE" w:rsidP="007C07EE">
            <w:pPr>
              <w:jc w:val="both"/>
            </w:pPr>
          </w:p>
          <w:p w14:paraId="6F33EDB2" w14:textId="7E553B3B" w:rsidR="00A563EA" w:rsidRPr="00E44C66" w:rsidRDefault="007C07EE" w:rsidP="00A563EA">
            <w:pPr>
              <w:jc w:val="both"/>
            </w:pPr>
            <w:r w:rsidRPr="00E44C66">
              <w:t xml:space="preserve">Vērtējot balansēšanas jaudas rezervju nodrošināšanas izmaksas ar vai bez elektroenerģijas </w:t>
            </w:r>
            <w:proofErr w:type="spellStart"/>
            <w:r w:rsidRPr="00E44C66">
              <w:t>uzkrātuves</w:t>
            </w:r>
            <w:proofErr w:type="spellEnd"/>
            <w:r w:rsidRPr="00E44C66">
              <w:t xml:space="preserve">, secināms, ka elektroenerģijas </w:t>
            </w:r>
            <w:proofErr w:type="spellStart"/>
            <w:r w:rsidRPr="00E44C66">
              <w:t>uzkrātuvju</w:t>
            </w:r>
            <w:proofErr w:type="spellEnd"/>
            <w:r w:rsidRPr="00E44C66">
              <w:t xml:space="preserve"> izmantošana, ja </w:t>
            </w:r>
            <w:r w:rsidR="00E74D49" w:rsidRPr="00E44C66">
              <w:t xml:space="preserve">elektroenerģijas </w:t>
            </w:r>
            <w:proofErr w:type="spellStart"/>
            <w:r w:rsidR="00E74D49" w:rsidRPr="00E44C66">
              <w:t>uzkrātuvju</w:t>
            </w:r>
            <w:proofErr w:type="spellEnd"/>
            <w:r w:rsidR="00E74D49" w:rsidRPr="00E44C66">
              <w:t xml:space="preserve"> iegādei </w:t>
            </w:r>
            <w:r w:rsidRPr="00E44C66">
              <w:t>tiek piesaistīts Eiropas Savienības fondu līdzfin</w:t>
            </w:r>
            <w:r w:rsidR="00E74D49">
              <w:t>an</w:t>
            </w:r>
            <w:r w:rsidRPr="00E44C66">
              <w:t xml:space="preserve">sējums, ievērojami samazinās AST balansēšanas jaudas nodrošināšanas izmaksas. Proti, </w:t>
            </w:r>
            <w:r w:rsidR="00A563EA" w:rsidRPr="00E44C66">
              <w:t xml:space="preserve">balansēšanas jaudas nodrošināšanas izmaksas bez elektroenerģijas </w:t>
            </w:r>
            <w:proofErr w:type="spellStart"/>
            <w:r w:rsidR="00A563EA" w:rsidRPr="00E44C66">
              <w:t>uzkrātuves</w:t>
            </w:r>
            <w:proofErr w:type="spellEnd"/>
            <w:r w:rsidR="00A563EA" w:rsidRPr="00E44C66">
              <w:t xml:space="preserve"> AST </w:t>
            </w:r>
            <w:r w:rsidRPr="00E44C66">
              <w:t>būtu no 35,9 līdz 56,1 miljoniem eiro gadā</w:t>
            </w:r>
            <w:r w:rsidR="00A563EA" w:rsidRPr="00E44C66">
              <w:t xml:space="preserve">. kas, savukārt atstātu ietekmi uz pārvades sistēmas pakalpojumu tarifu 51% līdz 80% apmērā. Savukārt, ja AST uzstādītu elektroenerģijas </w:t>
            </w:r>
            <w:proofErr w:type="spellStart"/>
            <w:r w:rsidR="00A563EA" w:rsidRPr="00E44C66">
              <w:t>uzkrātuves</w:t>
            </w:r>
            <w:proofErr w:type="spellEnd"/>
            <w:r w:rsidR="00A563EA" w:rsidRPr="00E44C66">
              <w:t xml:space="preserve"> ar rezervju uzturēšanai un aktivizēšanai lietderīgi izmantojamo, t.i. faktiski pieejamo, kopējo jaudu 80 MW/160 </w:t>
            </w:r>
            <w:proofErr w:type="spellStart"/>
            <w:r w:rsidR="00A563EA" w:rsidRPr="00E44C66">
              <w:t>MWh</w:t>
            </w:r>
            <w:proofErr w:type="spellEnd"/>
            <w:r w:rsidR="00A563EA" w:rsidRPr="00E44C66">
              <w:t xml:space="preserve"> apmērā, AST izmaksas par elektroenerģijas par balansēšanas jaudas rezervju nodrošināšanu, kas ietver arī elektroenerģijas </w:t>
            </w:r>
            <w:proofErr w:type="spellStart"/>
            <w:r w:rsidR="00A563EA" w:rsidRPr="00E44C66">
              <w:t>uzkrātuves</w:t>
            </w:r>
            <w:proofErr w:type="spellEnd"/>
            <w:r w:rsidR="00A563EA" w:rsidRPr="00E44C66">
              <w:t xml:space="preserve"> kapitāla izmaksas, svārstītos no 10,5 miljoniem līdz 26.7 miljoniem eiro gadā. Līdz ar to ietekme uz pārvades sistēmas pakalpojumu tarifu samazinātos apjomā no 15 % līdz 36%.</w:t>
            </w:r>
          </w:p>
          <w:p w14:paraId="7331C3C3" w14:textId="0C45A324" w:rsidR="007C07EE" w:rsidRPr="00E44C66" w:rsidRDefault="00A563EA" w:rsidP="00A563EA">
            <w:pPr>
              <w:jc w:val="both"/>
            </w:pPr>
            <w:r w:rsidRPr="00E44C66">
              <w:t>Papildus attiecībā uz Tirgus izpētes rezultātiem</w:t>
            </w:r>
            <w:r w:rsidR="00F04CDA" w:rsidRPr="00E44C66">
              <w:t xml:space="preserve"> Projektā ietverti vairāki identificētie riski, kas varētu ietekmēt Tirgus izpētes ietvaros identificētās iespējas nodrošināt balansēšanas jaudas </w:t>
            </w:r>
            <w:r w:rsidR="00F04CDA" w:rsidRPr="00E44C66">
              <w:lastRenderedPageBreak/>
              <w:t xml:space="preserve">rezerves un uz kuriem norādījis AST un Regulators. Attiecīgi </w:t>
            </w:r>
            <w:r w:rsidR="007C07EE" w:rsidRPr="00E44C66">
              <w:t xml:space="preserve">AST </w:t>
            </w:r>
            <w:r w:rsidR="00E74D49">
              <w:t xml:space="preserve">secinājis, </w:t>
            </w:r>
            <w:r w:rsidR="007C07EE" w:rsidRPr="00E44C66">
              <w:t xml:space="preserve">ka pastāv ievērojams risks, ka līdz 2025.gadam nebūs iespējams nodrošināt nepieciešamās FCR un </w:t>
            </w:r>
            <w:proofErr w:type="spellStart"/>
            <w:r w:rsidR="007C07EE" w:rsidRPr="00E44C66">
              <w:t>aFRR</w:t>
            </w:r>
            <w:proofErr w:type="spellEnd"/>
            <w:r w:rsidR="007C07EE" w:rsidRPr="00E44C66">
              <w:t xml:space="preserve"> rezerves un tādēļ nespēs izpildīt Līguma par Baltijas valstu elektroenerģijas sistēmas sagaidāmās pievienošanas Kontinentālās Eiropas elektroenerģijas sistēmai nosacījumiem (</w:t>
            </w:r>
            <w:proofErr w:type="spellStart"/>
            <w:r w:rsidR="007C07EE" w:rsidRPr="00E44C66">
              <w:rPr>
                <w:i/>
                <w:iCs/>
              </w:rPr>
              <w:t>Agreement</w:t>
            </w:r>
            <w:proofErr w:type="spellEnd"/>
            <w:r w:rsidR="007C07EE" w:rsidRPr="00E44C66">
              <w:rPr>
                <w:i/>
                <w:iCs/>
              </w:rPr>
              <w:t xml:space="preserve"> </w:t>
            </w:r>
            <w:proofErr w:type="spellStart"/>
            <w:r w:rsidR="007C07EE" w:rsidRPr="00E44C66">
              <w:rPr>
                <w:i/>
                <w:iCs/>
              </w:rPr>
              <w:t>on</w:t>
            </w:r>
            <w:proofErr w:type="spellEnd"/>
            <w:r w:rsidR="007C07EE" w:rsidRPr="00E44C66">
              <w:rPr>
                <w:i/>
                <w:iCs/>
              </w:rPr>
              <w:t xml:space="preserve"> </w:t>
            </w:r>
            <w:proofErr w:type="spellStart"/>
            <w:r w:rsidR="007C07EE" w:rsidRPr="00E44C66">
              <w:rPr>
                <w:i/>
                <w:iCs/>
              </w:rPr>
              <w:t>the</w:t>
            </w:r>
            <w:proofErr w:type="spellEnd"/>
            <w:r w:rsidR="007C07EE" w:rsidRPr="00E44C66">
              <w:rPr>
                <w:i/>
                <w:iCs/>
              </w:rPr>
              <w:t xml:space="preserve"> </w:t>
            </w:r>
            <w:proofErr w:type="spellStart"/>
            <w:r w:rsidR="007C07EE" w:rsidRPr="00E44C66">
              <w:rPr>
                <w:i/>
                <w:iCs/>
              </w:rPr>
              <w:t>condition</w:t>
            </w:r>
            <w:proofErr w:type="spellEnd"/>
            <w:r w:rsidR="007C07EE" w:rsidRPr="00E44C66">
              <w:rPr>
                <w:i/>
                <w:iCs/>
              </w:rPr>
              <w:t xml:space="preserve"> </w:t>
            </w:r>
            <w:proofErr w:type="spellStart"/>
            <w:r w:rsidR="007C07EE" w:rsidRPr="00E44C66">
              <w:rPr>
                <w:i/>
                <w:iCs/>
              </w:rPr>
              <w:t>of</w:t>
            </w:r>
            <w:proofErr w:type="spellEnd"/>
            <w:r w:rsidR="007C07EE" w:rsidRPr="00E44C66">
              <w:rPr>
                <w:i/>
                <w:iCs/>
              </w:rPr>
              <w:t xml:space="preserve"> </w:t>
            </w:r>
            <w:proofErr w:type="spellStart"/>
            <w:r w:rsidR="007C07EE" w:rsidRPr="00E44C66">
              <w:rPr>
                <w:i/>
                <w:iCs/>
              </w:rPr>
              <w:t>the</w:t>
            </w:r>
            <w:proofErr w:type="spellEnd"/>
            <w:r w:rsidR="007C07EE" w:rsidRPr="00E44C66">
              <w:rPr>
                <w:i/>
                <w:iCs/>
              </w:rPr>
              <w:t xml:space="preserve"> </w:t>
            </w:r>
            <w:proofErr w:type="spellStart"/>
            <w:r w:rsidR="007C07EE" w:rsidRPr="00E44C66">
              <w:rPr>
                <w:i/>
                <w:iCs/>
              </w:rPr>
              <w:t>future</w:t>
            </w:r>
            <w:proofErr w:type="spellEnd"/>
            <w:r w:rsidR="007C07EE" w:rsidRPr="00E44C66">
              <w:rPr>
                <w:i/>
                <w:iCs/>
              </w:rPr>
              <w:t xml:space="preserve"> </w:t>
            </w:r>
            <w:proofErr w:type="spellStart"/>
            <w:r w:rsidR="007C07EE" w:rsidRPr="00E44C66">
              <w:rPr>
                <w:i/>
                <w:iCs/>
              </w:rPr>
              <w:t>synchronous</w:t>
            </w:r>
            <w:proofErr w:type="spellEnd"/>
            <w:r w:rsidR="007C07EE" w:rsidRPr="00E44C66">
              <w:rPr>
                <w:i/>
                <w:iCs/>
              </w:rPr>
              <w:t xml:space="preserve"> </w:t>
            </w:r>
            <w:proofErr w:type="spellStart"/>
            <w:r w:rsidR="007C07EE" w:rsidRPr="00E44C66">
              <w:rPr>
                <w:i/>
                <w:iCs/>
              </w:rPr>
              <w:t>interconnection</w:t>
            </w:r>
            <w:proofErr w:type="spellEnd"/>
            <w:r w:rsidR="007C07EE" w:rsidRPr="00E44C66">
              <w:rPr>
                <w:i/>
                <w:iCs/>
              </w:rPr>
              <w:t xml:space="preserve"> </w:t>
            </w:r>
            <w:proofErr w:type="spellStart"/>
            <w:r w:rsidR="007C07EE" w:rsidRPr="00E44C66">
              <w:rPr>
                <w:i/>
                <w:iCs/>
              </w:rPr>
              <w:t>of</w:t>
            </w:r>
            <w:proofErr w:type="spellEnd"/>
            <w:r w:rsidR="007C07EE" w:rsidRPr="00E44C66">
              <w:rPr>
                <w:i/>
                <w:iCs/>
              </w:rPr>
              <w:t xml:space="preserve"> </w:t>
            </w:r>
            <w:proofErr w:type="spellStart"/>
            <w:r w:rsidR="007C07EE" w:rsidRPr="00E44C66">
              <w:rPr>
                <w:i/>
                <w:iCs/>
              </w:rPr>
              <w:t>power</w:t>
            </w:r>
            <w:proofErr w:type="spellEnd"/>
            <w:r w:rsidR="007C07EE" w:rsidRPr="00E44C66">
              <w:rPr>
                <w:i/>
                <w:iCs/>
              </w:rPr>
              <w:t xml:space="preserve"> </w:t>
            </w:r>
            <w:proofErr w:type="spellStart"/>
            <w:r w:rsidR="007C07EE" w:rsidRPr="00E44C66">
              <w:rPr>
                <w:i/>
                <w:iCs/>
              </w:rPr>
              <w:t>system</w:t>
            </w:r>
            <w:proofErr w:type="spellEnd"/>
            <w:r w:rsidR="007C07EE" w:rsidRPr="00E44C66">
              <w:rPr>
                <w:i/>
                <w:iCs/>
              </w:rPr>
              <w:t xml:space="preserve"> </w:t>
            </w:r>
            <w:proofErr w:type="spellStart"/>
            <w:r w:rsidR="007C07EE" w:rsidRPr="00E44C66">
              <w:rPr>
                <w:i/>
                <w:iCs/>
              </w:rPr>
              <w:t>of</w:t>
            </w:r>
            <w:proofErr w:type="spellEnd"/>
            <w:r w:rsidR="007C07EE" w:rsidRPr="00E44C66">
              <w:rPr>
                <w:i/>
                <w:iCs/>
              </w:rPr>
              <w:t xml:space="preserve"> </w:t>
            </w:r>
            <w:proofErr w:type="spellStart"/>
            <w:r w:rsidR="007C07EE" w:rsidRPr="00E44C66">
              <w:rPr>
                <w:i/>
                <w:iCs/>
              </w:rPr>
              <w:t>Baltic</w:t>
            </w:r>
            <w:proofErr w:type="spellEnd"/>
            <w:r w:rsidR="007C07EE" w:rsidRPr="00E44C66">
              <w:rPr>
                <w:i/>
                <w:iCs/>
              </w:rPr>
              <w:t xml:space="preserve"> </w:t>
            </w:r>
            <w:proofErr w:type="spellStart"/>
            <w:r w:rsidR="007C07EE" w:rsidRPr="00E44C66">
              <w:rPr>
                <w:i/>
                <w:iCs/>
              </w:rPr>
              <w:t>states</w:t>
            </w:r>
            <w:proofErr w:type="spellEnd"/>
            <w:r w:rsidR="007C07EE" w:rsidRPr="00E44C66">
              <w:rPr>
                <w:i/>
                <w:iCs/>
              </w:rPr>
              <w:t xml:space="preserve"> </w:t>
            </w:r>
            <w:proofErr w:type="spellStart"/>
            <w:r w:rsidR="007C07EE" w:rsidRPr="00E44C66">
              <w:rPr>
                <w:i/>
                <w:iCs/>
              </w:rPr>
              <w:t>and</w:t>
            </w:r>
            <w:proofErr w:type="spellEnd"/>
            <w:r w:rsidR="007C07EE" w:rsidRPr="00E44C66">
              <w:rPr>
                <w:i/>
                <w:iCs/>
              </w:rPr>
              <w:t xml:space="preserve"> </w:t>
            </w:r>
            <w:proofErr w:type="spellStart"/>
            <w:r w:rsidR="007C07EE" w:rsidRPr="00E44C66">
              <w:rPr>
                <w:i/>
                <w:iCs/>
              </w:rPr>
              <w:t>power</w:t>
            </w:r>
            <w:proofErr w:type="spellEnd"/>
            <w:r w:rsidR="007C07EE" w:rsidRPr="00E44C66">
              <w:rPr>
                <w:i/>
                <w:iCs/>
              </w:rPr>
              <w:t xml:space="preserve"> </w:t>
            </w:r>
            <w:proofErr w:type="spellStart"/>
            <w:r w:rsidR="007C07EE" w:rsidRPr="00E44C66">
              <w:rPr>
                <w:i/>
                <w:iCs/>
              </w:rPr>
              <w:t>system</w:t>
            </w:r>
            <w:proofErr w:type="spellEnd"/>
            <w:r w:rsidR="007C07EE" w:rsidRPr="00E44C66">
              <w:rPr>
                <w:i/>
                <w:iCs/>
              </w:rPr>
              <w:t xml:space="preserve"> </w:t>
            </w:r>
            <w:proofErr w:type="spellStart"/>
            <w:r w:rsidR="007C07EE" w:rsidRPr="00E44C66">
              <w:rPr>
                <w:i/>
                <w:iCs/>
              </w:rPr>
              <w:t>of</w:t>
            </w:r>
            <w:proofErr w:type="spellEnd"/>
            <w:r w:rsidR="007C07EE" w:rsidRPr="00E44C66">
              <w:rPr>
                <w:i/>
                <w:iCs/>
              </w:rPr>
              <w:t xml:space="preserve"> Continental </w:t>
            </w:r>
            <w:proofErr w:type="spellStart"/>
            <w:r w:rsidR="007C07EE" w:rsidRPr="00E44C66">
              <w:rPr>
                <w:i/>
                <w:iCs/>
              </w:rPr>
              <w:t>Europe</w:t>
            </w:r>
            <w:proofErr w:type="spellEnd"/>
            <w:r w:rsidR="007C07EE" w:rsidRPr="00E44C66">
              <w:t xml:space="preserve">) prasības. Līdz ar to, lai izvairītos no šī riska, AST </w:t>
            </w:r>
            <w:r w:rsidR="00F04CDA" w:rsidRPr="00E44C66">
              <w:t xml:space="preserve">lūdzis piešķirt atļauju </w:t>
            </w:r>
            <w:r w:rsidR="007C07EE" w:rsidRPr="00E44C66">
              <w:t xml:space="preserve">uzstādīt elektroenerģijas </w:t>
            </w:r>
            <w:proofErr w:type="spellStart"/>
            <w:r w:rsidR="007C07EE" w:rsidRPr="00E44C66">
              <w:t>uzkrātuves</w:t>
            </w:r>
            <w:proofErr w:type="spellEnd"/>
            <w:r w:rsidR="007C07EE" w:rsidRPr="00E44C66">
              <w:t xml:space="preserve"> ar rezervju uzturēšanai un aktivizēšanai lietderīgi izmantojamo, t.i. faktiski pieejamo, kopējo jaudu 80 MW/160 </w:t>
            </w:r>
            <w:proofErr w:type="spellStart"/>
            <w:r w:rsidR="007C07EE" w:rsidRPr="00E44C66">
              <w:t>MWh</w:t>
            </w:r>
            <w:proofErr w:type="spellEnd"/>
            <w:r w:rsidR="007C07EE" w:rsidRPr="00E44C66">
              <w:t xml:space="preserve"> apmērā.</w:t>
            </w:r>
          </w:p>
          <w:p w14:paraId="5F995367" w14:textId="77777777" w:rsidR="00F04CDA" w:rsidRPr="00E44C66" w:rsidRDefault="00F04CDA" w:rsidP="00A563EA">
            <w:pPr>
              <w:jc w:val="both"/>
            </w:pPr>
          </w:p>
          <w:p w14:paraId="19D40575" w14:textId="5BE6D1A3" w:rsidR="00F04CDA" w:rsidRPr="00E44C66" w:rsidRDefault="00F04CDA" w:rsidP="00F04CDA">
            <w:pPr>
              <w:jc w:val="both"/>
            </w:pPr>
            <w:r w:rsidRPr="00E44C66">
              <w:t xml:space="preserve">Saskaņā ar Administratīvās procesa likuma 15.panta divpadsmito daļu iestāde un tiesa nedrīkst atteikties izlemt jautājumu, pamatojoties uz to, ka šis jautājums nav noregulēts ar likumu vai citu ārējo normatīvo aktu (iestāžu un tiesu juridiskās obstrukcijas aizliegums) (..). Ņemot vērā minēto, kā arī Regulatora 2021.gada 27.augusta vēstulē Nr. 1-2.40/2435 minēto attiecībā uz Ministru kabinetu kā kompetento institūciju, kas varētu jautājumu par atļaujas piešķiršanu AST skatīt pēc būtības, AST lūdzis Finanšu ministriju pēc iespējas ātrāk virzīt izskatīšanai Ministru kabinetā rīkojuma projektu par atļaujas piešķiršanu AST iegādāties, attīstīt, pārvaldīt un ekspluatēt elektroenerģijas </w:t>
            </w:r>
            <w:proofErr w:type="spellStart"/>
            <w:r w:rsidRPr="00E44C66">
              <w:t>uzkrātuves</w:t>
            </w:r>
            <w:proofErr w:type="spellEnd"/>
            <w:r w:rsidRPr="00E44C66">
              <w:t>.</w:t>
            </w:r>
          </w:p>
          <w:p w14:paraId="0228F20D" w14:textId="77777777" w:rsidR="00F04CDA" w:rsidRPr="00E44C66" w:rsidRDefault="00F04CDA" w:rsidP="00F04CDA">
            <w:pPr>
              <w:jc w:val="both"/>
            </w:pPr>
          </w:p>
          <w:p w14:paraId="10E05C54" w14:textId="198E002C" w:rsidR="007C07EE" w:rsidRPr="00E44C66" w:rsidRDefault="00F04CDA" w:rsidP="00F04CDA">
            <w:pPr>
              <w:jc w:val="both"/>
            </w:pPr>
            <w:r w:rsidRPr="00E44C66">
              <w:t xml:space="preserve">Jautājumu Ministru kabinetā nepieciešams izskatīt līdz 2021.gada 15.septembrim, jo AST plāno iesniegt pieteikumu Eiropas Savienības līdzfinansējuma saņemšanai no Eiropas infrastruktūras savienošanas instrumenta CEF-2021 uzsaukuma ietvaros, ko plānots atvērt 2021.gada 6.septembrī un atļaujas iegādāties, attīstīt, pārvaldīt un ekspluatēt elektroenerģijas </w:t>
            </w:r>
            <w:proofErr w:type="spellStart"/>
            <w:r w:rsidRPr="00E44C66">
              <w:t>uzkrātuves</w:t>
            </w:r>
            <w:proofErr w:type="spellEnd"/>
            <w:r w:rsidRPr="00E44C66">
              <w:t xml:space="preserve"> saņemšana ir obligāts priekšnoteikums Eiropas Savienības līdzfinansējuma saņemšanai.  </w:t>
            </w:r>
          </w:p>
        </w:tc>
      </w:tr>
      <w:tr w:rsidR="000B7919" w:rsidRPr="00E44C66" w14:paraId="540FFC4B" w14:textId="77777777" w:rsidTr="00DB575F">
        <w:trPr>
          <w:gridAfter w:val="1"/>
          <w:wAfter w:w="73" w:type="pct"/>
        </w:trPr>
        <w:tc>
          <w:tcPr>
            <w:tcW w:w="284" w:type="pct"/>
            <w:tcBorders>
              <w:top w:val="outset" w:sz="6" w:space="0" w:color="000000"/>
              <w:left w:val="outset" w:sz="6" w:space="0" w:color="000000"/>
              <w:bottom w:val="outset" w:sz="6" w:space="0" w:color="000000"/>
              <w:right w:val="outset" w:sz="6" w:space="0" w:color="000000"/>
            </w:tcBorders>
            <w:hideMark/>
          </w:tcPr>
          <w:p w14:paraId="3ABFF4CB" w14:textId="77777777" w:rsidR="000B7919" w:rsidRPr="00E44C66" w:rsidRDefault="000B7919" w:rsidP="00A33B8C">
            <w:pPr>
              <w:pStyle w:val="NormalWeb"/>
              <w:spacing w:before="0" w:beforeAutospacing="0" w:after="0" w:afterAutospacing="0"/>
            </w:pPr>
            <w:r w:rsidRPr="00E44C66">
              <w:lastRenderedPageBreak/>
              <w:t>3.</w:t>
            </w:r>
          </w:p>
        </w:tc>
        <w:tc>
          <w:tcPr>
            <w:tcW w:w="1408" w:type="pct"/>
            <w:gridSpan w:val="2"/>
            <w:tcBorders>
              <w:top w:val="outset" w:sz="6" w:space="0" w:color="000000"/>
              <w:left w:val="outset" w:sz="6" w:space="0" w:color="000000"/>
              <w:bottom w:val="outset" w:sz="6" w:space="0" w:color="000000"/>
              <w:right w:val="outset" w:sz="6" w:space="0" w:color="000000"/>
            </w:tcBorders>
            <w:hideMark/>
          </w:tcPr>
          <w:p w14:paraId="711EE264" w14:textId="77777777" w:rsidR="000B7919" w:rsidRPr="00E44C66" w:rsidRDefault="000B7919" w:rsidP="00A33B8C">
            <w:pPr>
              <w:pStyle w:val="NormalWeb"/>
              <w:spacing w:before="0" w:beforeAutospacing="0" w:after="0" w:afterAutospacing="0"/>
            </w:pPr>
            <w:r w:rsidRPr="00E44C66">
              <w:t>Projekta izstrādē iesaistītās institūcijas</w:t>
            </w:r>
          </w:p>
        </w:tc>
        <w:tc>
          <w:tcPr>
            <w:tcW w:w="3235" w:type="pct"/>
            <w:gridSpan w:val="2"/>
            <w:tcBorders>
              <w:top w:val="outset" w:sz="6" w:space="0" w:color="000000"/>
              <w:left w:val="outset" w:sz="6" w:space="0" w:color="000000"/>
              <w:bottom w:val="outset" w:sz="6" w:space="0" w:color="000000"/>
              <w:right w:val="outset" w:sz="6" w:space="0" w:color="000000"/>
            </w:tcBorders>
            <w:hideMark/>
          </w:tcPr>
          <w:p w14:paraId="56DCC26F" w14:textId="77777777" w:rsidR="00F04CDA" w:rsidRPr="00E44C66" w:rsidRDefault="00F04CDA" w:rsidP="00F04CDA">
            <w:pPr>
              <w:pStyle w:val="NormalWeb"/>
            </w:pPr>
            <w:r w:rsidRPr="00E44C66">
              <w:t>Finanšu ministrija</w:t>
            </w:r>
          </w:p>
          <w:p w14:paraId="48DFFD94" w14:textId="6E1C1076" w:rsidR="00F04CDA" w:rsidRPr="00E44C66" w:rsidRDefault="00F04CDA" w:rsidP="00F04CDA">
            <w:pPr>
              <w:pStyle w:val="NormalWeb"/>
              <w:spacing w:before="0" w:beforeAutospacing="0" w:after="0" w:afterAutospacing="0"/>
            </w:pPr>
            <w:r w:rsidRPr="00E44C66">
              <w:t>AS „Augstsprieguma tīkls”</w:t>
            </w:r>
          </w:p>
        </w:tc>
      </w:tr>
      <w:tr w:rsidR="000B7919" w:rsidRPr="00E44C66" w14:paraId="677A4DE7" w14:textId="77777777" w:rsidTr="00DB575F">
        <w:trPr>
          <w:gridAfter w:val="1"/>
          <w:wAfter w:w="73" w:type="pct"/>
        </w:trPr>
        <w:tc>
          <w:tcPr>
            <w:tcW w:w="284" w:type="pct"/>
            <w:tcBorders>
              <w:top w:val="outset" w:sz="6" w:space="0" w:color="000000"/>
              <w:left w:val="outset" w:sz="6" w:space="0" w:color="000000"/>
              <w:bottom w:val="outset" w:sz="6" w:space="0" w:color="000000"/>
              <w:right w:val="outset" w:sz="6" w:space="0" w:color="000000"/>
            </w:tcBorders>
            <w:hideMark/>
          </w:tcPr>
          <w:p w14:paraId="044EA7CF" w14:textId="77777777" w:rsidR="000B7919" w:rsidRPr="00E44C66" w:rsidRDefault="000B7919" w:rsidP="00A33B8C">
            <w:pPr>
              <w:pStyle w:val="NormalWeb"/>
              <w:spacing w:before="0" w:beforeAutospacing="0" w:after="0" w:afterAutospacing="0"/>
            </w:pPr>
            <w:r w:rsidRPr="00E44C66">
              <w:t>4.</w:t>
            </w:r>
          </w:p>
        </w:tc>
        <w:tc>
          <w:tcPr>
            <w:tcW w:w="1408" w:type="pct"/>
            <w:gridSpan w:val="2"/>
            <w:tcBorders>
              <w:top w:val="outset" w:sz="6" w:space="0" w:color="000000"/>
              <w:left w:val="outset" w:sz="6" w:space="0" w:color="000000"/>
              <w:bottom w:val="outset" w:sz="6" w:space="0" w:color="000000"/>
              <w:right w:val="outset" w:sz="6" w:space="0" w:color="000000"/>
            </w:tcBorders>
            <w:hideMark/>
          </w:tcPr>
          <w:p w14:paraId="58886C84" w14:textId="77777777" w:rsidR="000B7919" w:rsidRPr="00E44C66" w:rsidRDefault="000B7919" w:rsidP="00A33B8C">
            <w:pPr>
              <w:pStyle w:val="NormalWeb"/>
              <w:spacing w:before="0" w:beforeAutospacing="0" w:after="0" w:afterAutospacing="0"/>
            </w:pPr>
            <w:r w:rsidRPr="00E44C66">
              <w:t>Cita informācija</w:t>
            </w:r>
          </w:p>
          <w:p w14:paraId="04B7E643" w14:textId="77777777" w:rsidR="000B7919" w:rsidRPr="00E44C66" w:rsidRDefault="000B7919" w:rsidP="00A33B8C"/>
        </w:tc>
        <w:tc>
          <w:tcPr>
            <w:tcW w:w="3235" w:type="pct"/>
            <w:gridSpan w:val="2"/>
            <w:tcBorders>
              <w:top w:val="outset" w:sz="6" w:space="0" w:color="000000"/>
              <w:left w:val="outset" w:sz="6" w:space="0" w:color="000000"/>
              <w:bottom w:val="outset" w:sz="6" w:space="0" w:color="000000"/>
              <w:right w:val="outset" w:sz="6" w:space="0" w:color="000000"/>
            </w:tcBorders>
          </w:tcPr>
          <w:p w14:paraId="1E0957CE" w14:textId="77777777" w:rsidR="000B7919" w:rsidRPr="00E44C66" w:rsidRDefault="000B7919" w:rsidP="00A33B8C">
            <w:pPr>
              <w:pStyle w:val="NormalWeb"/>
              <w:spacing w:before="0" w:beforeAutospacing="0" w:after="0" w:afterAutospacing="0"/>
              <w:jc w:val="both"/>
            </w:pPr>
            <w:r w:rsidRPr="00E44C66">
              <w:t>Nav.</w:t>
            </w:r>
          </w:p>
        </w:tc>
      </w:tr>
      <w:tr w:rsidR="000B7919" w:rsidRPr="00E44C66" w14:paraId="088C1F21" w14:textId="77777777" w:rsidTr="00A33B8C">
        <w:tc>
          <w:tcPr>
            <w:tcW w:w="5000" w:type="pct"/>
            <w:gridSpan w:val="6"/>
            <w:tcBorders>
              <w:top w:val="nil"/>
              <w:left w:val="nil"/>
              <w:bottom w:val="single" w:sz="4" w:space="0" w:color="auto"/>
              <w:right w:val="nil"/>
            </w:tcBorders>
            <w:vAlign w:val="center"/>
          </w:tcPr>
          <w:p w14:paraId="5A0B8F7A" w14:textId="77777777" w:rsidR="000B7919" w:rsidRPr="00E44C66" w:rsidRDefault="000B7919" w:rsidP="00A33B8C">
            <w:pPr>
              <w:pStyle w:val="NormalWeb"/>
              <w:spacing w:before="0" w:beforeAutospacing="0" w:after="0" w:afterAutospacing="0"/>
              <w:jc w:val="center"/>
            </w:pPr>
          </w:p>
        </w:tc>
      </w:tr>
      <w:tr w:rsidR="000B7919" w:rsidRPr="00E44C66" w14:paraId="589C7286" w14:textId="77777777" w:rsidTr="00A33B8C">
        <w:tc>
          <w:tcPr>
            <w:tcW w:w="5000" w:type="pct"/>
            <w:gridSpan w:val="6"/>
            <w:tcBorders>
              <w:top w:val="single" w:sz="4" w:space="0" w:color="auto"/>
              <w:left w:val="single" w:sz="6" w:space="0" w:color="auto"/>
              <w:bottom w:val="outset" w:sz="6" w:space="0" w:color="000000"/>
              <w:right w:val="single" w:sz="6" w:space="0" w:color="auto"/>
            </w:tcBorders>
            <w:vAlign w:val="center"/>
            <w:hideMark/>
          </w:tcPr>
          <w:p w14:paraId="0292E65F" w14:textId="77777777" w:rsidR="000B7919" w:rsidRPr="00E44C66" w:rsidRDefault="000B7919" w:rsidP="00A33B8C">
            <w:pPr>
              <w:pStyle w:val="NormalWeb"/>
              <w:spacing w:before="0" w:beforeAutospacing="0" w:after="0" w:afterAutospacing="0"/>
              <w:jc w:val="center"/>
              <w:rPr>
                <w:b/>
                <w:bCs/>
              </w:rPr>
            </w:pPr>
            <w:r w:rsidRPr="00E44C66">
              <w:t> </w:t>
            </w:r>
            <w:r w:rsidRPr="00E44C66">
              <w:rPr>
                <w:b/>
                <w:bCs/>
              </w:rPr>
              <w:t>II. Tiesību akta projekta ietekme uz sabiedrību, tautsaimniecības attīstību un administratīvo slogu</w:t>
            </w:r>
          </w:p>
        </w:tc>
      </w:tr>
      <w:tr w:rsidR="00F04CDA" w:rsidRPr="00E44C66" w14:paraId="61245588" w14:textId="77777777" w:rsidTr="00A33B8C">
        <w:tc>
          <w:tcPr>
            <w:tcW w:w="298" w:type="pct"/>
            <w:gridSpan w:val="2"/>
            <w:tcBorders>
              <w:top w:val="outset" w:sz="6" w:space="0" w:color="000000"/>
              <w:left w:val="outset" w:sz="6" w:space="0" w:color="000000"/>
              <w:bottom w:val="outset" w:sz="6" w:space="0" w:color="000000"/>
              <w:right w:val="outset" w:sz="6" w:space="0" w:color="000000"/>
            </w:tcBorders>
            <w:hideMark/>
          </w:tcPr>
          <w:p w14:paraId="04E25860" w14:textId="77777777" w:rsidR="00F04CDA" w:rsidRPr="00E44C66" w:rsidRDefault="00F04CDA" w:rsidP="00F04CDA">
            <w:pPr>
              <w:pStyle w:val="NormalWeb"/>
              <w:spacing w:before="0" w:beforeAutospacing="0" w:after="0" w:afterAutospacing="0"/>
            </w:pPr>
            <w:r w:rsidRPr="00E44C66">
              <w:t>1.</w:t>
            </w:r>
          </w:p>
        </w:tc>
        <w:tc>
          <w:tcPr>
            <w:tcW w:w="1613" w:type="pct"/>
            <w:gridSpan w:val="2"/>
            <w:tcBorders>
              <w:top w:val="outset" w:sz="6" w:space="0" w:color="000000"/>
              <w:left w:val="outset" w:sz="6" w:space="0" w:color="000000"/>
              <w:bottom w:val="outset" w:sz="6" w:space="0" w:color="000000"/>
              <w:right w:val="outset" w:sz="6" w:space="0" w:color="000000"/>
            </w:tcBorders>
            <w:hideMark/>
          </w:tcPr>
          <w:p w14:paraId="7A650F3F" w14:textId="77777777" w:rsidR="00F04CDA" w:rsidRPr="00E44C66" w:rsidRDefault="00F04CDA" w:rsidP="00F04CDA">
            <w:pPr>
              <w:pStyle w:val="NormalWeb"/>
              <w:spacing w:before="0" w:beforeAutospacing="0" w:after="0" w:afterAutospacing="0"/>
            </w:pPr>
            <w:r w:rsidRPr="00E44C66">
              <w:t xml:space="preserve">Sabiedrības </w:t>
            </w:r>
            <w:proofErr w:type="spellStart"/>
            <w:r w:rsidRPr="00E44C66">
              <w:t>mērķgrupas</w:t>
            </w:r>
            <w:proofErr w:type="spellEnd"/>
            <w:r w:rsidRPr="00E44C66">
              <w:t>, kuras tiesiskais regulējums ietekmē vai varētu ietekmēt</w:t>
            </w:r>
          </w:p>
        </w:tc>
        <w:tc>
          <w:tcPr>
            <w:tcW w:w="3089" w:type="pct"/>
            <w:gridSpan w:val="2"/>
            <w:tcBorders>
              <w:top w:val="outset" w:sz="6" w:space="0" w:color="000000"/>
              <w:left w:val="outset" w:sz="6" w:space="0" w:color="000000"/>
              <w:bottom w:val="outset" w:sz="6" w:space="0" w:color="000000"/>
              <w:right w:val="outset" w:sz="6" w:space="0" w:color="000000"/>
            </w:tcBorders>
            <w:hideMark/>
          </w:tcPr>
          <w:p w14:paraId="2D383A61" w14:textId="612CBAF7" w:rsidR="00F04CDA" w:rsidRPr="00E44C66" w:rsidRDefault="00F04CDA" w:rsidP="00F04CDA">
            <w:pPr>
              <w:pStyle w:val="naiskr"/>
              <w:tabs>
                <w:tab w:val="left" w:pos="2628"/>
              </w:tabs>
              <w:spacing w:before="0" w:after="0"/>
              <w:jc w:val="both"/>
            </w:pPr>
            <w:r w:rsidRPr="00E44C66">
              <w:t xml:space="preserve">Nav, jo Ministru kabineta rīkojuma projekta ir attiecināms tikai uz AST. </w:t>
            </w:r>
          </w:p>
        </w:tc>
      </w:tr>
      <w:tr w:rsidR="00F04CDA" w:rsidRPr="00E44C66" w14:paraId="4030C1AE" w14:textId="77777777" w:rsidTr="00A33B8C">
        <w:tc>
          <w:tcPr>
            <w:tcW w:w="298" w:type="pct"/>
            <w:gridSpan w:val="2"/>
            <w:tcBorders>
              <w:top w:val="outset" w:sz="6" w:space="0" w:color="000000"/>
              <w:left w:val="outset" w:sz="6" w:space="0" w:color="000000"/>
              <w:bottom w:val="outset" w:sz="6" w:space="0" w:color="000000"/>
              <w:right w:val="outset" w:sz="6" w:space="0" w:color="000000"/>
            </w:tcBorders>
            <w:hideMark/>
          </w:tcPr>
          <w:p w14:paraId="49F22862" w14:textId="77777777" w:rsidR="00F04CDA" w:rsidRPr="00E44C66" w:rsidRDefault="00F04CDA" w:rsidP="00F04CDA">
            <w:pPr>
              <w:pStyle w:val="NormalWeb"/>
              <w:spacing w:before="0" w:beforeAutospacing="0" w:after="0" w:afterAutospacing="0"/>
            </w:pPr>
            <w:r w:rsidRPr="00E44C66">
              <w:t>2.</w:t>
            </w:r>
          </w:p>
        </w:tc>
        <w:tc>
          <w:tcPr>
            <w:tcW w:w="1613" w:type="pct"/>
            <w:gridSpan w:val="2"/>
            <w:tcBorders>
              <w:top w:val="outset" w:sz="6" w:space="0" w:color="000000"/>
              <w:left w:val="outset" w:sz="6" w:space="0" w:color="000000"/>
              <w:bottom w:val="outset" w:sz="6" w:space="0" w:color="000000"/>
              <w:right w:val="outset" w:sz="6" w:space="0" w:color="000000"/>
            </w:tcBorders>
            <w:hideMark/>
          </w:tcPr>
          <w:p w14:paraId="6A04199B" w14:textId="77777777" w:rsidR="00F04CDA" w:rsidRPr="00E44C66" w:rsidRDefault="00F04CDA" w:rsidP="00F04CDA">
            <w:pPr>
              <w:pStyle w:val="NormalWeb"/>
              <w:spacing w:before="0" w:beforeAutospacing="0" w:after="0" w:afterAutospacing="0"/>
            </w:pPr>
            <w:r w:rsidRPr="00E44C66">
              <w:t>Tiesiskā regulējuma ietekme uz tautsaimniecību un administratīvo slogu</w:t>
            </w:r>
          </w:p>
        </w:tc>
        <w:tc>
          <w:tcPr>
            <w:tcW w:w="3089" w:type="pct"/>
            <w:gridSpan w:val="2"/>
            <w:tcBorders>
              <w:top w:val="outset" w:sz="6" w:space="0" w:color="000000"/>
              <w:left w:val="outset" w:sz="6" w:space="0" w:color="000000"/>
              <w:bottom w:val="outset" w:sz="6" w:space="0" w:color="000000"/>
              <w:right w:val="outset" w:sz="6" w:space="0" w:color="000000"/>
            </w:tcBorders>
            <w:hideMark/>
          </w:tcPr>
          <w:p w14:paraId="3A573FA0" w14:textId="7C91CDC8" w:rsidR="00F04CDA" w:rsidRPr="00E44C66" w:rsidRDefault="00F04CDA" w:rsidP="00F04CDA">
            <w:pPr>
              <w:pStyle w:val="NormalWeb"/>
              <w:spacing w:before="0" w:beforeAutospacing="0" w:after="0" w:afterAutospacing="0"/>
              <w:jc w:val="both"/>
            </w:pPr>
            <w:r w:rsidRPr="00E44C66">
              <w:t>Nav, jo Ministru kabineta rīkojuma projekta ir attiecināms tikai uz AST.</w:t>
            </w:r>
          </w:p>
        </w:tc>
      </w:tr>
      <w:tr w:rsidR="00F04CDA" w:rsidRPr="00E44C66" w14:paraId="57EF5D1E" w14:textId="77777777" w:rsidTr="00A33B8C">
        <w:tc>
          <w:tcPr>
            <w:tcW w:w="298" w:type="pct"/>
            <w:gridSpan w:val="2"/>
            <w:tcBorders>
              <w:top w:val="outset" w:sz="6" w:space="0" w:color="000000"/>
              <w:left w:val="outset" w:sz="6" w:space="0" w:color="000000"/>
              <w:bottom w:val="outset" w:sz="6" w:space="0" w:color="000000"/>
              <w:right w:val="outset" w:sz="6" w:space="0" w:color="000000"/>
            </w:tcBorders>
            <w:hideMark/>
          </w:tcPr>
          <w:p w14:paraId="298300E9" w14:textId="77777777" w:rsidR="00F04CDA" w:rsidRPr="00E44C66" w:rsidRDefault="00F04CDA" w:rsidP="00F04CDA">
            <w:pPr>
              <w:pStyle w:val="NormalWeb"/>
              <w:spacing w:before="0" w:beforeAutospacing="0" w:after="0" w:afterAutospacing="0"/>
            </w:pPr>
            <w:r w:rsidRPr="00E44C66">
              <w:lastRenderedPageBreak/>
              <w:t>3.</w:t>
            </w:r>
          </w:p>
        </w:tc>
        <w:tc>
          <w:tcPr>
            <w:tcW w:w="1613" w:type="pct"/>
            <w:gridSpan w:val="2"/>
            <w:tcBorders>
              <w:top w:val="outset" w:sz="6" w:space="0" w:color="000000"/>
              <w:left w:val="outset" w:sz="6" w:space="0" w:color="000000"/>
              <w:bottom w:val="outset" w:sz="6" w:space="0" w:color="000000"/>
              <w:right w:val="outset" w:sz="6" w:space="0" w:color="000000"/>
            </w:tcBorders>
            <w:hideMark/>
          </w:tcPr>
          <w:p w14:paraId="21C6B62D" w14:textId="77777777" w:rsidR="00F04CDA" w:rsidRPr="00E44C66" w:rsidRDefault="00F04CDA" w:rsidP="00F04CDA">
            <w:pPr>
              <w:pStyle w:val="NormalWeb"/>
              <w:spacing w:before="0" w:beforeAutospacing="0" w:after="0" w:afterAutospacing="0"/>
            </w:pPr>
            <w:r w:rsidRPr="00E44C66">
              <w:t>Administratīvo izmaksu monetārs novērtējums</w:t>
            </w:r>
          </w:p>
        </w:tc>
        <w:tc>
          <w:tcPr>
            <w:tcW w:w="3089" w:type="pct"/>
            <w:gridSpan w:val="2"/>
            <w:tcBorders>
              <w:top w:val="outset" w:sz="6" w:space="0" w:color="000000"/>
              <w:left w:val="outset" w:sz="6" w:space="0" w:color="000000"/>
              <w:bottom w:val="outset" w:sz="6" w:space="0" w:color="000000"/>
              <w:right w:val="outset" w:sz="6" w:space="0" w:color="000000"/>
            </w:tcBorders>
          </w:tcPr>
          <w:p w14:paraId="5F47936B" w14:textId="41166F1D" w:rsidR="00F04CDA" w:rsidRPr="00E44C66" w:rsidRDefault="00F04CDA" w:rsidP="00F04CDA">
            <w:pPr>
              <w:pStyle w:val="NormalWeb"/>
              <w:spacing w:before="0" w:beforeAutospacing="0" w:after="0" w:afterAutospacing="0"/>
              <w:jc w:val="both"/>
            </w:pPr>
            <w:r w:rsidRPr="00E44C66">
              <w:t>Projekts šo jomu neskar.</w:t>
            </w:r>
          </w:p>
        </w:tc>
      </w:tr>
      <w:tr w:rsidR="00F04CDA" w:rsidRPr="00E44C66" w14:paraId="07D19ADB" w14:textId="77777777" w:rsidTr="00A33B8C">
        <w:tc>
          <w:tcPr>
            <w:tcW w:w="298" w:type="pct"/>
            <w:gridSpan w:val="2"/>
            <w:tcBorders>
              <w:top w:val="outset" w:sz="6" w:space="0" w:color="000000"/>
              <w:left w:val="outset" w:sz="6" w:space="0" w:color="000000"/>
              <w:bottom w:val="outset" w:sz="6" w:space="0" w:color="000000"/>
              <w:right w:val="outset" w:sz="6" w:space="0" w:color="000000"/>
            </w:tcBorders>
          </w:tcPr>
          <w:p w14:paraId="14D41B4C" w14:textId="77777777" w:rsidR="00F04CDA" w:rsidRPr="00E44C66" w:rsidRDefault="00F04CDA" w:rsidP="00F04CDA">
            <w:pPr>
              <w:pStyle w:val="NormalWeb"/>
              <w:spacing w:before="0" w:beforeAutospacing="0" w:after="0" w:afterAutospacing="0"/>
            </w:pPr>
            <w:r w:rsidRPr="00E44C66">
              <w:t>4.</w:t>
            </w:r>
          </w:p>
        </w:tc>
        <w:tc>
          <w:tcPr>
            <w:tcW w:w="1613" w:type="pct"/>
            <w:gridSpan w:val="2"/>
            <w:tcBorders>
              <w:top w:val="outset" w:sz="6" w:space="0" w:color="000000"/>
              <w:left w:val="outset" w:sz="6" w:space="0" w:color="000000"/>
              <w:bottom w:val="outset" w:sz="6" w:space="0" w:color="000000"/>
              <w:right w:val="outset" w:sz="6" w:space="0" w:color="000000"/>
            </w:tcBorders>
          </w:tcPr>
          <w:p w14:paraId="2827EC75" w14:textId="77777777" w:rsidR="00F04CDA" w:rsidRPr="00E44C66" w:rsidRDefault="00F04CDA" w:rsidP="00F04CDA">
            <w:pPr>
              <w:pStyle w:val="NormalWeb"/>
              <w:spacing w:before="0" w:beforeAutospacing="0" w:after="0" w:afterAutospacing="0"/>
            </w:pPr>
            <w:r w:rsidRPr="00E44C66">
              <w:t>Atbilstības izmaksu monetārs novērtējums</w:t>
            </w:r>
          </w:p>
        </w:tc>
        <w:tc>
          <w:tcPr>
            <w:tcW w:w="3089" w:type="pct"/>
            <w:gridSpan w:val="2"/>
            <w:tcBorders>
              <w:top w:val="outset" w:sz="6" w:space="0" w:color="000000"/>
              <w:left w:val="outset" w:sz="6" w:space="0" w:color="000000"/>
              <w:bottom w:val="outset" w:sz="6" w:space="0" w:color="000000"/>
              <w:right w:val="outset" w:sz="6" w:space="0" w:color="000000"/>
            </w:tcBorders>
          </w:tcPr>
          <w:p w14:paraId="1EA700AC" w14:textId="796AB01A" w:rsidR="00F04CDA" w:rsidRPr="00E44C66" w:rsidRDefault="00F04CDA" w:rsidP="00F04CDA">
            <w:pPr>
              <w:pStyle w:val="naiskr"/>
              <w:tabs>
                <w:tab w:val="left" w:pos="2628"/>
              </w:tabs>
              <w:spacing w:before="0" w:after="0"/>
              <w:jc w:val="both"/>
            </w:pPr>
            <w:r w:rsidRPr="00E44C66">
              <w:t>Nav</w:t>
            </w:r>
          </w:p>
        </w:tc>
      </w:tr>
      <w:tr w:rsidR="00F04CDA" w:rsidRPr="00E44C66" w14:paraId="726B41AC" w14:textId="77777777" w:rsidTr="00A33B8C">
        <w:tc>
          <w:tcPr>
            <w:tcW w:w="298" w:type="pct"/>
            <w:gridSpan w:val="2"/>
            <w:tcBorders>
              <w:top w:val="outset" w:sz="6" w:space="0" w:color="000000"/>
              <w:left w:val="outset" w:sz="6" w:space="0" w:color="000000"/>
              <w:bottom w:val="outset" w:sz="6" w:space="0" w:color="000000"/>
              <w:right w:val="outset" w:sz="6" w:space="0" w:color="000000"/>
            </w:tcBorders>
            <w:hideMark/>
          </w:tcPr>
          <w:p w14:paraId="0F2E8B45" w14:textId="77777777" w:rsidR="00F04CDA" w:rsidRPr="00E44C66" w:rsidRDefault="00F04CDA" w:rsidP="00F04CDA">
            <w:pPr>
              <w:pStyle w:val="NormalWeb"/>
              <w:spacing w:before="0" w:beforeAutospacing="0" w:after="0" w:afterAutospacing="0"/>
            </w:pPr>
            <w:r w:rsidRPr="00E44C66">
              <w:t>5.</w:t>
            </w:r>
          </w:p>
        </w:tc>
        <w:tc>
          <w:tcPr>
            <w:tcW w:w="1613" w:type="pct"/>
            <w:gridSpan w:val="2"/>
            <w:tcBorders>
              <w:top w:val="outset" w:sz="6" w:space="0" w:color="000000"/>
              <w:left w:val="outset" w:sz="6" w:space="0" w:color="000000"/>
              <w:bottom w:val="outset" w:sz="6" w:space="0" w:color="000000"/>
              <w:right w:val="outset" w:sz="6" w:space="0" w:color="000000"/>
            </w:tcBorders>
            <w:hideMark/>
          </w:tcPr>
          <w:p w14:paraId="07A18307" w14:textId="77777777" w:rsidR="00F04CDA" w:rsidRPr="00E44C66" w:rsidRDefault="00F04CDA" w:rsidP="00F04CDA">
            <w:pPr>
              <w:pStyle w:val="NormalWeb"/>
              <w:spacing w:before="0" w:beforeAutospacing="0" w:after="0" w:afterAutospacing="0"/>
            </w:pPr>
            <w:r w:rsidRPr="00E44C66">
              <w:t>Cita informācija</w:t>
            </w:r>
          </w:p>
        </w:tc>
        <w:tc>
          <w:tcPr>
            <w:tcW w:w="3089" w:type="pct"/>
            <w:gridSpan w:val="2"/>
            <w:tcBorders>
              <w:top w:val="outset" w:sz="6" w:space="0" w:color="000000"/>
              <w:left w:val="outset" w:sz="6" w:space="0" w:color="000000"/>
              <w:bottom w:val="outset" w:sz="6" w:space="0" w:color="000000"/>
              <w:right w:val="outset" w:sz="6" w:space="0" w:color="000000"/>
            </w:tcBorders>
            <w:hideMark/>
          </w:tcPr>
          <w:p w14:paraId="71FC2D85" w14:textId="5B23513D" w:rsidR="00F04CDA" w:rsidRPr="00E44C66" w:rsidRDefault="00F04CDA" w:rsidP="00F04CDA">
            <w:pPr>
              <w:pStyle w:val="naiskr"/>
              <w:tabs>
                <w:tab w:val="left" w:pos="2628"/>
              </w:tabs>
              <w:spacing w:before="0" w:after="0"/>
              <w:jc w:val="both"/>
            </w:pPr>
            <w:r w:rsidRPr="00E44C66">
              <w:t>Nav</w:t>
            </w:r>
          </w:p>
        </w:tc>
      </w:tr>
    </w:tbl>
    <w:p w14:paraId="17C35527" w14:textId="58ED13ED" w:rsidR="000B7919" w:rsidRPr="00E44C66" w:rsidRDefault="000B7919" w:rsidP="000B7919"/>
    <w:p w14:paraId="1A225C18" w14:textId="77777777" w:rsidR="002D5C05" w:rsidRPr="00E44C66" w:rsidRDefault="002D5C05" w:rsidP="000B7919"/>
    <w:p w14:paraId="3AD2FAB0" w14:textId="77777777" w:rsidR="002D5C05" w:rsidRPr="00E44C66" w:rsidRDefault="002D5C05" w:rsidP="000B7919"/>
    <w:tbl>
      <w:tblPr>
        <w:tblW w:w="5323"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640"/>
      </w:tblGrid>
      <w:tr w:rsidR="000B7919" w:rsidRPr="00E44C66" w14:paraId="7DCD6324" w14:textId="77777777" w:rsidTr="002D5C05">
        <w:tc>
          <w:tcPr>
            <w:tcW w:w="9721" w:type="dxa"/>
            <w:tcBorders>
              <w:top w:val="outset" w:sz="6" w:space="0" w:color="414142"/>
              <w:left w:val="outset" w:sz="6" w:space="0" w:color="414142"/>
              <w:bottom w:val="outset" w:sz="6" w:space="0" w:color="414142"/>
              <w:right w:val="outset" w:sz="6" w:space="0" w:color="414142"/>
            </w:tcBorders>
            <w:vAlign w:val="center"/>
            <w:hideMark/>
          </w:tcPr>
          <w:p w14:paraId="3BA681C6" w14:textId="77777777" w:rsidR="000B7919" w:rsidRPr="00E44C66" w:rsidRDefault="000B7919" w:rsidP="00A33B8C">
            <w:pPr>
              <w:ind w:firstLine="300"/>
              <w:jc w:val="center"/>
              <w:rPr>
                <w:b/>
                <w:bCs/>
              </w:rPr>
            </w:pPr>
            <w:r w:rsidRPr="00E44C66">
              <w:rPr>
                <w:b/>
                <w:bCs/>
              </w:rPr>
              <w:t>III. Tiesību akta projekta ietekme uz valsts budžetu un pašvaldību budžetiem</w:t>
            </w:r>
          </w:p>
        </w:tc>
      </w:tr>
      <w:tr w:rsidR="002D5C05" w:rsidRPr="00E44C66" w14:paraId="3A49D36B" w14:textId="77777777" w:rsidTr="002D5C05">
        <w:trPr>
          <w:trHeight w:val="389"/>
        </w:trPr>
        <w:tc>
          <w:tcPr>
            <w:tcW w:w="9721" w:type="dxa"/>
            <w:tcBorders>
              <w:top w:val="outset" w:sz="6" w:space="0" w:color="414142"/>
              <w:left w:val="outset" w:sz="6" w:space="0" w:color="414142"/>
              <w:right w:val="outset" w:sz="6" w:space="0" w:color="414142"/>
            </w:tcBorders>
            <w:vAlign w:val="center"/>
          </w:tcPr>
          <w:p w14:paraId="75398254" w14:textId="2D64D3A0" w:rsidR="002D5C05" w:rsidRPr="00E44C66" w:rsidRDefault="002D5C05" w:rsidP="002D5C05">
            <w:pPr>
              <w:ind w:firstLine="300"/>
              <w:jc w:val="center"/>
            </w:pPr>
            <w:r w:rsidRPr="00E44C66">
              <w:t>Projekts šo jomu neskar</w:t>
            </w:r>
          </w:p>
        </w:tc>
      </w:tr>
    </w:tbl>
    <w:p w14:paraId="712481A3" w14:textId="77777777" w:rsidR="000B7919" w:rsidRPr="00E44C66" w:rsidRDefault="000B7919" w:rsidP="000B7919"/>
    <w:tbl>
      <w:tblPr>
        <w:tblW w:w="5323"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640"/>
      </w:tblGrid>
      <w:tr w:rsidR="000B7919" w:rsidRPr="00E44C66" w14:paraId="0934F163" w14:textId="77777777" w:rsidTr="00A33B8C">
        <w:tc>
          <w:tcPr>
            <w:tcW w:w="5000" w:type="pct"/>
            <w:tcBorders>
              <w:top w:val="outset" w:sz="6" w:space="0" w:color="414142"/>
              <w:left w:val="outset" w:sz="6" w:space="0" w:color="414142"/>
              <w:bottom w:val="outset" w:sz="6" w:space="0" w:color="414142"/>
              <w:right w:val="outset" w:sz="6" w:space="0" w:color="414142"/>
            </w:tcBorders>
            <w:vAlign w:val="center"/>
            <w:hideMark/>
          </w:tcPr>
          <w:p w14:paraId="208E2BD9" w14:textId="77777777" w:rsidR="000B7919" w:rsidRPr="00E44C66" w:rsidRDefault="000B7919" w:rsidP="00A33B8C">
            <w:pPr>
              <w:ind w:firstLine="301"/>
              <w:jc w:val="center"/>
              <w:rPr>
                <w:b/>
                <w:bCs/>
              </w:rPr>
            </w:pPr>
            <w:r w:rsidRPr="00E44C66">
              <w:rPr>
                <w:b/>
                <w:bCs/>
              </w:rPr>
              <w:t xml:space="preserve">IV. </w:t>
            </w:r>
            <w:r w:rsidRPr="00E44C66">
              <w:rPr>
                <w:b/>
              </w:rPr>
              <w:t>Tiesību aktu projekta ietekme uz spēkā esošo tiesību normu sistēmu</w:t>
            </w:r>
          </w:p>
        </w:tc>
      </w:tr>
      <w:tr w:rsidR="000B7919" w:rsidRPr="00E44C66" w14:paraId="29EFDEDB" w14:textId="77777777" w:rsidTr="00A33B8C">
        <w:tc>
          <w:tcPr>
            <w:tcW w:w="5000" w:type="pct"/>
            <w:tcBorders>
              <w:top w:val="outset" w:sz="6" w:space="0" w:color="414142"/>
              <w:left w:val="outset" w:sz="6" w:space="0" w:color="414142"/>
              <w:bottom w:val="outset" w:sz="6" w:space="0" w:color="414142"/>
              <w:right w:val="outset" w:sz="6" w:space="0" w:color="414142"/>
            </w:tcBorders>
          </w:tcPr>
          <w:p w14:paraId="4F1D165D" w14:textId="77777777" w:rsidR="000B7919" w:rsidRPr="00E44C66" w:rsidRDefault="000B7919" w:rsidP="00A33B8C">
            <w:pPr>
              <w:jc w:val="center"/>
            </w:pPr>
            <w:r w:rsidRPr="00E44C66">
              <w:t>Projekts šo jomu neskar</w:t>
            </w:r>
          </w:p>
        </w:tc>
      </w:tr>
    </w:tbl>
    <w:p w14:paraId="72452EB4" w14:textId="77777777" w:rsidR="000B7919" w:rsidRPr="00E44C66" w:rsidRDefault="000B7919" w:rsidP="000B7919"/>
    <w:tbl>
      <w:tblPr>
        <w:tblW w:w="5323"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640"/>
      </w:tblGrid>
      <w:tr w:rsidR="000B7919" w:rsidRPr="00E44C66" w14:paraId="031A40A9" w14:textId="77777777" w:rsidTr="00A33B8C">
        <w:tc>
          <w:tcPr>
            <w:tcW w:w="5000" w:type="pct"/>
            <w:tcBorders>
              <w:top w:val="outset" w:sz="6" w:space="0" w:color="414142"/>
              <w:left w:val="outset" w:sz="6" w:space="0" w:color="414142"/>
              <w:bottom w:val="outset" w:sz="6" w:space="0" w:color="414142"/>
              <w:right w:val="outset" w:sz="6" w:space="0" w:color="414142"/>
            </w:tcBorders>
            <w:vAlign w:val="center"/>
            <w:hideMark/>
          </w:tcPr>
          <w:p w14:paraId="631DA39A" w14:textId="77777777" w:rsidR="000B7919" w:rsidRPr="00E44C66" w:rsidRDefault="000B7919" w:rsidP="00A33B8C">
            <w:pPr>
              <w:ind w:firstLine="301"/>
              <w:jc w:val="center"/>
              <w:rPr>
                <w:b/>
                <w:bCs/>
              </w:rPr>
            </w:pPr>
            <w:r w:rsidRPr="00E44C66">
              <w:rPr>
                <w:b/>
                <w:bCs/>
              </w:rPr>
              <w:t>V. Tiesību akta projekta atbilstība Latvijas Republikas starptautiskajām saistībām</w:t>
            </w:r>
          </w:p>
        </w:tc>
      </w:tr>
      <w:tr w:rsidR="000B7919" w:rsidRPr="00E44C66" w14:paraId="2FCCB305" w14:textId="77777777" w:rsidTr="00A33B8C">
        <w:tc>
          <w:tcPr>
            <w:tcW w:w="5000" w:type="pct"/>
            <w:tcBorders>
              <w:top w:val="outset" w:sz="6" w:space="0" w:color="414142"/>
              <w:left w:val="outset" w:sz="6" w:space="0" w:color="414142"/>
              <w:bottom w:val="outset" w:sz="6" w:space="0" w:color="414142"/>
              <w:right w:val="outset" w:sz="6" w:space="0" w:color="414142"/>
            </w:tcBorders>
          </w:tcPr>
          <w:p w14:paraId="212F5496" w14:textId="77777777" w:rsidR="000B7919" w:rsidRPr="00E44C66" w:rsidRDefault="000B7919" w:rsidP="00A33B8C">
            <w:pPr>
              <w:jc w:val="center"/>
            </w:pPr>
            <w:r w:rsidRPr="00E44C66">
              <w:t>Projekts šo jomu neskar</w:t>
            </w:r>
          </w:p>
        </w:tc>
      </w:tr>
    </w:tbl>
    <w:p w14:paraId="5AFC9DF5" w14:textId="77777777" w:rsidR="000B7919" w:rsidRPr="00E44C66" w:rsidRDefault="000B7919" w:rsidP="000B7919"/>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634"/>
      </w:tblGrid>
      <w:tr w:rsidR="000B7919" w:rsidRPr="00E44C66" w14:paraId="6C3BD4B7" w14:textId="77777777" w:rsidTr="00A33B8C">
        <w:trPr>
          <w:trHeight w:val="291"/>
          <w:jc w:val="center"/>
        </w:trPr>
        <w:tc>
          <w:tcPr>
            <w:tcW w:w="9634" w:type="dxa"/>
          </w:tcPr>
          <w:p w14:paraId="2844A35C" w14:textId="77777777" w:rsidR="000B7919" w:rsidRPr="00E44C66" w:rsidRDefault="000B7919" w:rsidP="00A33B8C">
            <w:pPr>
              <w:jc w:val="center"/>
              <w:rPr>
                <w:b/>
                <w:bCs/>
              </w:rPr>
            </w:pPr>
            <w:r w:rsidRPr="00E44C66">
              <w:rPr>
                <w:b/>
                <w:bCs/>
              </w:rPr>
              <w:t xml:space="preserve">VI. </w:t>
            </w:r>
            <w:r w:rsidRPr="00E44C66">
              <w:rPr>
                <w:b/>
              </w:rPr>
              <w:t>Sabiedrības līdzdalība un komunikācijas aktivitātes</w:t>
            </w:r>
          </w:p>
        </w:tc>
      </w:tr>
      <w:tr w:rsidR="002D5C05" w:rsidRPr="00E44C66" w14:paraId="5D2BC5AA" w14:textId="77777777" w:rsidTr="002D5C05">
        <w:trPr>
          <w:trHeight w:val="377"/>
          <w:jc w:val="center"/>
        </w:trPr>
        <w:tc>
          <w:tcPr>
            <w:tcW w:w="9634" w:type="dxa"/>
          </w:tcPr>
          <w:p w14:paraId="13D13D5D" w14:textId="7D68C713" w:rsidR="002D5C05" w:rsidRPr="00E44C66" w:rsidRDefault="002D5C05" w:rsidP="002D5C05">
            <w:pPr>
              <w:jc w:val="center"/>
              <w:rPr>
                <w:highlight w:val="yellow"/>
              </w:rPr>
            </w:pPr>
            <w:r w:rsidRPr="00E44C66">
              <w:t>Projekts šo jomu neskar</w:t>
            </w:r>
          </w:p>
        </w:tc>
      </w:tr>
    </w:tbl>
    <w:p w14:paraId="79C8EB32" w14:textId="77777777" w:rsidR="000B7919" w:rsidRPr="00E44C66" w:rsidRDefault="000B7919" w:rsidP="000B7919"/>
    <w:tbl>
      <w:tblPr>
        <w:tblW w:w="5323" w:type="pct"/>
        <w:tblInd w:w="-292"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69"/>
        <w:gridCol w:w="3686"/>
        <w:gridCol w:w="5385"/>
      </w:tblGrid>
      <w:tr w:rsidR="000B7919" w:rsidRPr="00E44C66" w14:paraId="42D9CF6B" w14:textId="77777777" w:rsidTr="00A33B8C">
        <w:tc>
          <w:tcPr>
            <w:tcW w:w="5000" w:type="pct"/>
            <w:gridSpan w:val="3"/>
            <w:tcBorders>
              <w:top w:val="outset" w:sz="6" w:space="0" w:color="000000"/>
              <w:left w:val="outset" w:sz="6" w:space="0" w:color="000000"/>
              <w:bottom w:val="outset" w:sz="6" w:space="0" w:color="000000"/>
              <w:right w:val="outset" w:sz="6" w:space="0" w:color="000000"/>
            </w:tcBorders>
            <w:hideMark/>
          </w:tcPr>
          <w:p w14:paraId="2BF3CBAF" w14:textId="77777777" w:rsidR="000B7919" w:rsidRPr="00E44C66" w:rsidRDefault="000B7919" w:rsidP="00A33B8C">
            <w:pPr>
              <w:pStyle w:val="NormalWeb"/>
              <w:spacing w:before="0" w:beforeAutospacing="0" w:after="0" w:afterAutospacing="0"/>
              <w:jc w:val="center"/>
              <w:rPr>
                <w:b/>
                <w:bCs/>
              </w:rPr>
            </w:pPr>
            <w:r w:rsidRPr="00E44C66">
              <w:rPr>
                <w:b/>
                <w:bCs/>
              </w:rPr>
              <w:t>VII. Tiesību akta projekta izpildes nodrošināšana un tās ietekme uz institūcijām</w:t>
            </w:r>
          </w:p>
        </w:tc>
      </w:tr>
      <w:tr w:rsidR="000B7919" w:rsidRPr="00E44C66" w14:paraId="40F0167A" w14:textId="77777777" w:rsidTr="002D5C05">
        <w:tc>
          <w:tcPr>
            <w:tcW w:w="295" w:type="pct"/>
            <w:tcBorders>
              <w:top w:val="outset" w:sz="6" w:space="0" w:color="000000"/>
              <w:left w:val="outset" w:sz="6" w:space="0" w:color="000000"/>
              <w:bottom w:val="outset" w:sz="6" w:space="0" w:color="000000"/>
              <w:right w:val="outset" w:sz="6" w:space="0" w:color="000000"/>
            </w:tcBorders>
            <w:hideMark/>
          </w:tcPr>
          <w:p w14:paraId="38F7035A" w14:textId="77777777" w:rsidR="000B7919" w:rsidRPr="00E44C66" w:rsidRDefault="000B7919" w:rsidP="00A33B8C">
            <w:pPr>
              <w:pStyle w:val="NormalWeb"/>
              <w:spacing w:before="0" w:beforeAutospacing="0" w:after="0" w:afterAutospacing="0"/>
            </w:pPr>
            <w:r w:rsidRPr="00E44C66">
              <w:t>1.</w:t>
            </w:r>
          </w:p>
        </w:tc>
        <w:tc>
          <w:tcPr>
            <w:tcW w:w="1912" w:type="pct"/>
            <w:tcBorders>
              <w:top w:val="outset" w:sz="6" w:space="0" w:color="000000"/>
              <w:left w:val="outset" w:sz="6" w:space="0" w:color="000000"/>
              <w:bottom w:val="outset" w:sz="6" w:space="0" w:color="000000"/>
              <w:right w:val="outset" w:sz="6" w:space="0" w:color="000000"/>
            </w:tcBorders>
            <w:hideMark/>
          </w:tcPr>
          <w:p w14:paraId="77487879" w14:textId="77777777" w:rsidR="000B7919" w:rsidRPr="00E44C66" w:rsidRDefault="000B7919" w:rsidP="00A33B8C">
            <w:pPr>
              <w:pStyle w:val="NormalWeb"/>
              <w:spacing w:before="0" w:beforeAutospacing="0" w:after="0" w:afterAutospacing="0"/>
            </w:pPr>
            <w:r w:rsidRPr="00E44C66">
              <w:t>Projekta izpildē iesaistītās institūcijas</w:t>
            </w:r>
          </w:p>
        </w:tc>
        <w:tc>
          <w:tcPr>
            <w:tcW w:w="2793" w:type="pct"/>
            <w:tcBorders>
              <w:top w:val="outset" w:sz="6" w:space="0" w:color="000000"/>
              <w:left w:val="outset" w:sz="6" w:space="0" w:color="000000"/>
              <w:bottom w:val="outset" w:sz="6" w:space="0" w:color="000000"/>
              <w:right w:val="outset" w:sz="6" w:space="0" w:color="000000"/>
            </w:tcBorders>
            <w:hideMark/>
          </w:tcPr>
          <w:p w14:paraId="5646EBDD" w14:textId="77777777" w:rsidR="000B7919" w:rsidRPr="00E44C66" w:rsidRDefault="002D5C05" w:rsidP="00A33B8C">
            <w:pPr>
              <w:pStyle w:val="NormalWeb"/>
              <w:spacing w:before="0" w:beforeAutospacing="0" w:after="0" w:afterAutospacing="0"/>
              <w:jc w:val="both"/>
            </w:pPr>
            <w:r w:rsidRPr="00E44C66">
              <w:t>AS ''Augstsprieguma tīkls''</w:t>
            </w:r>
          </w:p>
          <w:p w14:paraId="32429F90" w14:textId="6EE944E5" w:rsidR="002D5C05" w:rsidRPr="00E44C66" w:rsidRDefault="002D5C05" w:rsidP="00A33B8C">
            <w:pPr>
              <w:pStyle w:val="NormalWeb"/>
              <w:spacing w:before="0" w:beforeAutospacing="0" w:after="0" w:afterAutospacing="0"/>
              <w:jc w:val="both"/>
            </w:pPr>
            <w:r w:rsidRPr="00E44C66">
              <w:t>Sabiedrisko pakalpojumu regulēšanas komisij</w:t>
            </w:r>
            <w:r w:rsidR="00DB7D5F" w:rsidRPr="00E44C66">
              <w:t>a</w:t>
            </w:r>
          </w:p>
        </w:tc>
      </w:tr>
      <w:tr w:rsidR="000B7919" w:rsidRPr="00E44C66" w14:paraId="40F81E26" w14:textId="77777777" w:rsidTr="002D5C05">
        <w:tc>
          <w:tcPr>
            <w:tcW w:w="295" w:type="pct"/>
            <w:tcBorders>
              <w:top w:val="outset" w:sz="6" w:space="0" w:color="000000"/>
              <w:left w:val="outset" w:sz="6" w:space="0" w:color="000000"/>
              <w:bottom w:val="outset" w:sz="6" w:space="0" w:color="000000"/>
              <w:right w:val="outset" w:sz="6" w:space="0" w:color="000000"/>
            </w:tcBorders>
            <w:hideMark/>
          </w:tcPr>
          <w:p w14:paraId="559B24E1" w14:textId="77777777" w:rsidR="000B7919" w:rsidRPr="00E44C66" w:rsidRDefault="000B7919" w:rsidP="00A33B8C">
            <w:pPr>
              <w:pStyle w:val="NormalWeb"/>
              <w:spacing w:before="0" w:beforeAutospacing="0" w:after="0" w:afterAutospacing="0"/>
            </w:pPr>
            <w:r w:rsidRPr="00E44C66">
              <w:t>2.</w:t>
            </w:r>
          </w:p>
        </w:tc>
        <w:tc>
          <w:tcPr>
            <w:tcW w:w="1912" w:type="pct"/>
            <w:tcBorders>
              <w:top w:val="outset" w:sz="6" w:space="0" w:color="000000"/>
              <w:left w:val="outset" w:sz="6" w:space="0" w:color="000000"/>
              <w:bottom w:val="outset" w:sz="6" w:space="0" w:color="000000"/>
              <w:right w:val="outset" w:sz="6" w:space="0" w:color="000000"/>
            </w:tcBorders>
            <w:hideMark/>
          </w:tcPr>
          <w:p w14:paraId="3BE2AE6B" w14:textId="77777777" w:rsidR="000B7919" w:rsidRPr="00E44C66" w:rsidRDefault="000B7919" w:rsidP="00A33B8C">
            <w:pPr>
              <w:pStyle w:val="NormalWeb"/>
              <w:spacing w:before="0" w:beforeAutospacing="0" w:after="0" w:afterAutospacing="0"/>
            </w:pPr>
            <w:r w:rsidRPr="00E44C66">
              <w:t>Projekta izpildes ietekme uz pārvaldes funkcijām un institucionālo struktūru.</w:t>
            </w:r>
          </w:p>
          <w:p w14:paraId="024A212E" w14:textId="77777777" w:rsidR="000B7919" w:rsidRPr="00E44C66" w:rsidRDefault="000B7919" w:rsidP="00A33B8C">
            <w:pPr>
              <w:pStyle w:val="NormalWeb"/>
              <w:spacing w:before="0" w:beforeAutospacing="0" w:after="0" w:afterAutospacing="0"/>
            </w:pPr>
            <w:r w:rsidRPr="00E44C66">
              <w:t>Jaunu institūciju izveide, esošo institūciju likvidācija vai reorganizācija, to ietekme uz institūcijas cilvēkresursiem</w:t>
            </w:r>
          </w:p>
        </w:tc>
        <w:tc>
          <w:tcPr>
            <w:tcW w:w="2793" w:type="pct"/>
            <w:tcBorders>
              <w:top w:val="outset" w:sz="6" w:space="0" w:color="000000"/>
              <w:left w:val="outset" w:sz="6" w:space="0" w:color="000000"/>
              <w:bottom w:val="outset" w:sz="6" w:space="0" w:color="000000"/>
              <w:right w:val="outset" w:sz="6" w:space="0" w:color="000000"/>
            </w:tcBorders>
            <w:hideMark/>
          </w:tcPr>
          <w:p w14:paraId="1F9F6526" w14:textId="53750C2F" w:rsidR="000B7919" w:rsidRPr="00E44C66" w:rsidRDefault="00200DAA" w:rsidP="00A33B8C">
            <w:pPr>
              <w:pStyle w:val="NormalWeb"/>
              <w:spacing w:before="0" w:beforeAutospacing="0" w:after="0" w:afterAutospacing="0"/>
              <w:jc w:val="both"/>
            </w:pPr>
            <w:r w:rsidRPr="00E44C66">
              <w:t>Nav attiecināms</w:t>
            </w:r>
          </w:p>
        </w:tc>
      </w:tr>
      <w:tr w:rsidR="000B7919" w:rsidRPr="00E44C66" w14:paraId="5233194B" w14:textId="77777777" w:rsidTr="002D5C05">
        <w:tc>
          <w:tcPr>
            <w:tcW w:w="295" w:type="pct"/>
            <w:tcBorders>
              <w:top w:val="outset" w:sz="6" w:space="0" w:color="000000"/>
              <w:left w:val="outset" w:sz="6" w:space="0" w:color="000000"/>
              <w:bottom w:val="outset" w:sz="6" w:space="0" w:color="000000"/>
              <w:right w:val="outset" w:sz="6" w:space="0" w:color="000000"/>
            </w:tcBorders>
            <w:hideMark/>
          </w:tcPr>
          <w:p w14:paraId="09A977C1" w14:textId="77777777" w:rsidR="000B7919" w:rsidRPr="00E44C66" w:rsidRDefault="000B7919" w:rsidP="00A33B8C">
            <w:pPr>
              <w:pStyle w:val="NormalWeb"/>
              <w:spacing w:before="0" w:beforeAutospacing="0" w:after="0" w:afterAutospacing="0"/>
            </w:pPr>
            <w:r w:rsidRPr="00E44C66">
              <w:t>3.</w:t>
            </w:r>
          </w:p>
        </w:tc>
        <w:tc>
          <w:tcPr>
            <w:tcW w:w="1912" w:type="pct"/>
            <w:tcBorders>
              <w:top w:val="outset" w:sz="6" w:space="0" w:color="000000"/>
              <w:left w:val="outset" w:sz="6" w:space="0" w:color="000000"/>
              <w:bottom w:val="outset" w:sz="6" w:space="0" w:color="000000"/>
              <w:right w:val="outset" w:sz="6" w:space="0" w:color="000000"/>
            </w:tcBorders>
            <w:hideMark/>
          </w:tcPr>
          <w:p w14:paraId="4563DE1C" w14:textId="77777777" w:rsidR="000B7919" w:rsidRPr="00E44C66" w:rsidRDefault="000B7919" w:rsidP="00A33B8C">
            <w:pPr>
              <w:pStyle w:val="NormalWeb"/>
              <w:spacing w:before="0" w:beforeAutospacing="0" w:after="0" w:afterAutospacing="0"/>
            </w:pPr>
            <w:r w:rsidRPr="00E44C66">
              <w:t>Cita informācija</w:t>
            </w:r>
          </w:p>
        </w:tc>
        <w:tc>
          <w:tcPr>
            <w:tcW w:w="2793" w:type="pct"/>
            <w:tcBorders>
              <w:top w:val="outset" w:sz="6" w:space="0" w:color="000000"/>
              <w:left w:val="outset" w:sz="6" w:space="0" w:color="000000"/>
              <w:bottom w:val="outset" w:sz="6" w:space="0" w:color="000000"/>
              <w:right w:val="outset" w:sz="6" w:space="0" w:color="000000"/>
            </w:tcBorders>
            <w:hideMark/>
          </w:tcPr>
          <w:p w14:paraId="234CBE73" w14:textId="77777777" w:rsidR="000B7919" w:rsidRPr="00E44C66" w:rsidRDefault="000B7919" w:rsidP="00A33B8C">
            <w:pPr>
              <w:pStyle w:val="NormalWeb"/>
              <w:spacing w:before="0" w:beforeAutospacing="0" w:after="0" w:afterAutospacing="0"/>
            </w:pPr>
            <w:r w:rsidRPr="00E44C66">
              <w:t>Nav.</w:t>
            </w:r>
          </w:p>
        </w:tc>
      </w:tr>
    </w:tbl>
    <w:p w14:paraId="0D5E3215" w14:textId="77777777" w:rsidR="000B7919" w:rsidRPr="00E44C66" w:rsidRDefault="000B7919" w:rsidP="000B7919"/>
    <w:p w14:paraId="71B40F51" w14:textId="77777777" w:rsidR="000B7919" w:rsidRPr="00E44C66" w:rsidRDefault="000B7919" w:rsidP="000B7919"/>
    <w:p w14:paraId="23BC7F67" w14:textId="77777777" w:rsidR="000B7919" w:rsidRPr="00E44C66" w:rsidRDefault="000B7919" w:rsidP="000B7919"/>
    <w:p w14:paraId="11705854" w14:textId="77777777" w:rsidR="000B7919" w:rsidRPr="00E44C66" w:rsidRDefault="000B7919" w:rsidP="000B7919"/>
    <w:p w14:paraId="4AFF0981" w14:textId="00F05B38" w:rsidR="00200DAA" w:rsidRPr="00E44C66" w:rsidRDefault="00200DAA" w:rsidP="00200DAA">
      <w:pPr>
        <w:tabs>
          <w:tab w:val="left" w:pos="6521"/>
        </w:tabs>
        <w:jc w:val="both"/>
      </w:pPr>
      <w:r w:rsidRPr="00E44C66">
        <w:t xml:space="preserve">Finanšu ministrs </w:t>
      </w:r>
      <w:r w:rsidRPr="00E44C66">
        <w:tab/>
      </w:r>
      <w:r w:rsidRPr="00E44C66">
        <w:tab/>
      </w:r>
      <w:r w:rsidRPr="00E44C66">
        <w:tab/>
        <w:t>J. Reirs</w:t>
      </w:r>
    </w:p>
    <w:p w14:paraId="351C7128" w14:textId="77777777" w:rsidR="00200DAA" w:rsidRPr="00E44C66" w:rsidRDefault="00200DAA" w:rsidP="00200DAA"/>
    <w:p w14:paraId="0ECB766F" w14:textId="77777777" w:rsidR="000B7919" w:rsidRPr="00E44C66" w:rsidRDefault="000B7919" w:rsidP="000B7919">
      <w:pPr>
        <w:tabs>
          <w:tab w:val="left" w:pos="8222"/>
        </w:tabs>
      </w:pPr>
    </w:p>
    <w:p w14:paraId="2E8B2C75" w14:textId="77777777" w:rsidR="000B7919" w:rsidRPr="00E44C66" w:rsidRDefault="000B7919" w:rsidP="000B7919">
      <w:pPr>
        <w:tabs>
          <w:tab w:val="left" w:pos="8222"/>
        </w:tabs>
      </w:pPr>
    </w:p>
    <w:p w14:paraId="2C355DD2" w14:textId="77777777" w:rsidR="000B7919" w:rsidRPr="00E44C66" w:rsidRDefault="000B7919" w:rsidP="000B7919">
      <w:pPr>
        <w:tabs>
          <w:tab w:val="left" w:pos="8222"/>
        </w:tabs>
      </w:pPr>
    </w:p>
    <w:p w14:paraId="165D088C" w14:textId="77777777" w:rsidR="000B7919" w:rsidRPr="00E44C66" w:rsidRDefault="000B7919" w:rsidP="000B7919">
      <w:pPr>
        <w:tabs>
          <w:tab w:val="left" w:pos="8222"/>
        </w:tabs>
      </w:pPr>
    </w:p>
    <w:p w14:paraId="0A1DB2BD" w14:textId="77777777" w:rsidR="000B7919" w:rsidRPr="00AC130B" w:rsidRDefault="000B7919" w:rsidP="000B7919">
      <w:pPr>
        <w:tabs>
          <w:tab w:val="left" w:pos="8222"/>
        </w:tabs>
        <w:rPr>
          <w:sz w:val="28"/>
          <w:szCs w:val="28"/>
        </w:rPr>
      </w:pPr>
    </w:p>
    <w:p w14:paraId="79111820" w14:textId="77777777" w:rsidR="000B7919" w:rsidRPr="00AC130B" w:rsidRDefault="000B7919" w:rsidP="000B7919">
      <w:pPr>
        <w:tabs>
          <w:tab w:val="left" w:pos="8222"/>
        </w:tabs>
        <w:rPr>
          <w:sz w:val="28"/>
          <w:szCs w:val="28"/>
        </w:rPr>
      </w:pPr>
    </w:p>
    <w:p w14:paraId="16DE4455" w14:textId="77777777" w:rsidR="005766AC" w:rsidRPr="00E77323" w:rsidRDefault="005766AC"/>
    <w:sectPr w:rsidR="005766AC" w:rsidRPr="00E77323" w:rsidSect="00E53747">
      <w:headerReference w:type="even" r:id="rId7"/>
      <w:headerReference w:type="default" r:id="rId8"/>
      <w:footerReference w:type="even" r:id="rId9"/>
      <w:footerReference w:type="default" r:id="rId10"/>
      <w:footerReference w:type="first" r:id="rId11"/>
      <w:pgSz w:w="11906" w:h="16838" w:code="9"/>
      <w:pgMar w:top="1418" w:right="1134" w:bottom="1276" w:left="1701" w:header="709" w:footer="7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AFD4C" w14:textId="77777777" w:rsidR="00C36729" w:rsidRDefault="00C36729" w:rsidP="00200DAA">
      <w:r>
        <w:separator/>
      </w:r>
    </w:p>
  </w:endnote>
  <w:endnote w:type="continuationSeparator" w:id="0">
    <w:p w14:paraId="2E0DABA2" w14:textId="77777777" w:rsidR="00C36729" w:rsidRDefault="00C36729" w:rsidP="00200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C8C26" w14:textId="77777777" w:rsidR="006A3517" w:rsidRDefault="00253902" w:rsidP="005577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C97223" w14:textId="77777777" w:rsidR="006A3517" w:rsidRDefault="00C36729" w:rsidP="00E672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8A71F" w14:textId="1BC75533" w:rsidR="006A3517" w:rsidRPr="00926361" w:rsidRDefault="00253902" w:rsidP="00F86ECC">
    <w:pPr>
      <w:pStyle w:val="Footer"/>
      <w:jc w:val="both"/>
      <w:rPr>
        <w:sz w:val="20"/>
        <w:szCs w:val="20"/>
      </w:rPr>
    </w:pPr>
    <w:r w:rsidRPr="003834F2">
      <w:rPr>
        <w:sz w:val="20"/>
        <w:szCs w:val="20"/>
      </w:rPr>
      <w:fldChar w:fldCharType="begin"/>
    </w:r>
    <w:r w:rsidRPr="003834F2">
      <w:rPr>
        <w:sz w:val="20"/>
        <w:szCs w:val="20"/>
      </w:rPr>
      <w:instrText xml:space="preserve"> FILENAME   \* MERGEFORMAT </w:instrText>
    </w:r>
    <w:r w:rsidRPr="003834F2">
      <w:rPr>
        <w:sz w:val="20"/>
        <w:szCs w:val="20"/>
      </w:rPr>
      <w:fldChar w:fldCharType="separate"/>
    </w:r>
    <w:r w:rsidR="00DB575F" w:rsidRPr="00DB575F">
      <w:rPr>
        <w:noProof/>
        <w:sz w:val="20"/>
        <w:szCs w:val="20"/>
      </w:rPr>
      <w:t xml:space="preserve"> </w:t>
    </w:r>
    <w:r w:rsidR="00DB575F" w:rsidRPr="00DB575F">
      <w:rPr>
        <w:noProof/>
        <w:sz w:val="20"/>
        <w:szCs w:val="20"/>
      </w:rPr>
      <w:t>FMAnot_020921_atlauja_AST</w:t>
    </w:r>
    <w:r w:rsidRPr="003834F2">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B1711" w14:textId="08A3C076" w:rsidR="006A3517" w:rsidRPr="00DB575F" w:rsidRDefault="00DB575F" w:rsidP="00DB575F">
    <w:pPr>
      <w:pStyle w:val="Footer"/>
    </w:pPr>
    <w:r w:rsidRPr="00DB575F">
      <w:rPr>
        <w:sz w:val="20"/>
        <w:szCs w:val="20"/>
      </w:rPr>
      <w:t>FMAnot_020921_atlauja_AST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37F7C" w14:textId="77777777" w:rsidR="00C36729" w:rsidRDefault="00C36729" w:rsidP="00200DAA">
      <w:r>
        <w:separator/>
      </w:r>
    </w:p>
  </w:footnote>
  <w:footnote w:type="continuationSeparator" w:id="0">
    <w:p w14:paraId="035BA45C" w14:textId="77777777" w:rsidR="00C36729" w:rsidRDefault="00C36729" w:rsidP="00200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3E219" w14:textId="77777777" w:rsidR="006A3517" w:rsidRDefault="00253902" w:rsidP="00F11D8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85B64C" w14:textId="77777777" w:rsidR="006A3517" w:rsidRDefault="00C367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AE13F" w14:textId="77777777" w:rsidR="006A3517" w:rsidRDefault="00253902" w:rsidP="00F11D8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C803356" w14:textId="77777777" w:rsidR="006A3517" w:rsidRPr="004F7101" w:rsidRDefault="00C36729" w:rsidP="004F7101">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4344A0"/>
    <w:multiLevelType w:val="hybridMultilevel"/>
    <w:tmpl w:val="F54061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6223704"/>
    <w:multiLevelType w:val="hybridMultilevel"/>
    <w:tmpl w:val="C62ACD9E"/>
    <w:lvl w:ilvl="0" w:tplc="04260001">
      <w:start w:val="1"/>
      <w:numFmt w:val="bullet"/>
      <w:lvlText w:val=""/>
      <w:lvlJc w:val="left"/>
      <w:pPr>
        <w:ind w:left="1155" w:hanging="360"/>
      </w:pPr>
      <w:rPr>
        <w:rFonts w:ascii="Symbol" w:hAnsi="Symbol" w:hint="default"/>
      </w:rPr>
    </w:lvl>
    <w:lvl w:ilvl="1" w:tplc="04260003" w:tentative="1">
      <w:start w:val="1"/>
      <w:numFmt w:val="bullet"/>
      <w:lvlText w:val="o"/>
      <w:lvlJc w:val="left"/>
      <w:pPr>
        <w:ind w:left="1875" w:hanging="360"/>
      </w:pPr>
      <w:rPr>
        <w:rFonts w:ascii="Courier New" w:hAnsi="Courier New" w:cs="Courier New" w:hint="default"/>
      </w:rPr>
    </w:lvl>
    <w:lvl w:ilvl="2" w:tplc="04260005" w:tentative="1">
      <w:start w:val="1"/>
      <w:numFmt w:val="bullet"/>
      <w:lvlText w:val=""/>
      <w:lvlJc w:val="left"/>
      <w:pPr>
        <w:ind w:left="2595" w:hanging="360"/>
      </w:pPr>
      <w:rPr>
        <w:rFonts w:ascii="Wingdings" w:hAnsi="Wingdings" w:hint="default"/>
      </w:rPr>
    </w:lvl>
    <w:lvl w:ilvl="3" w:tplc="04260001" w:tentative="1">
      <w:start w:val="1"/>
      <w:numFmt w:val="bullet"/>
      <w:lvlText w:val=""/>
      <w:lvlJc w:val="left"/>
      <w:pPr>
        <w:ind w:left="3315" w:hanging="360"/>
      </w:pPr>
      <w:rPr>
        <w:rFonts w:ascii="Symbol" w:hAnsi="Symbol" w:hint="default"/>
      </w:rPr>
    </w:lvl>
    <w:lvl w:ilvl="4" w:tplc="04260003" w:tentative="1">
      <w:start w:val="1"/>
      <w:numFmt w:val="bullet"/>
      <w:lvlText w:val="o"/>
      <w:lvlJc w:val="left"/>
      <w:pPr>
        <w:ind w:left="4035" w:hanging="360"/>
      </w:pPr>
      <w:rPr>
        <w:rFonts w:ascii="Courier New" w:hAnsi="Courier New" w:cs="Courier New" w:hint="default"/>
      </w:rPr>
    </w:lvl>
    <w:lvl w:ilvl="5" w:tplc="04260005" w:tentative="1">
      <w:start w:val="1"/>
      <w:numFmt w:val="bullet"/>
      <w:lvlText w:val=""/>
      <w:lvlJc w:val="left"/>
      <w:pPr>
        <w:ind w:left="4755" w:hanging="360"/>
      </w:pPr>
      <w:rPr>
        <w:rFonts w:ascii="Wingdings" w:hAnsi="Wingdings" w:hint="default"/>
      </w:rPr>
    </w:lvl>
    <w:lvl w:ilvl="6" w:tplc="04260001" w:tentative="1">
      <w:start w:val="1"/>
      <w:numFmt w:val="bullet"/>
      <w:lvlText w:val=""/>
      <w:lvlJc w:val="left"/>
      <w:pPr>
        <w:ind w:left="5475" w:hanging="360"/>
      </w:pPr>
      <w:rPr>
        <w:rFonts w:ascii="Symbol" w:hAnsi="Symbol" w:hint="default"/>
      </w:rPr>
    </w:lvl>
    <w:lvl w:ilvl="7" w:tplc="04260003" w:tentative="1">
      <w:start w:val="1"/>
      <w:numFmt w:val="bullet"/>
      <w:lvlText w:val="o"/>
      <w:lvlJc w:val="left"/>
      <w:pPr>
        <w:ind w:left="6195" w:hanging="360"/>
      </w:pPr>
      <w:rPr>
        <w:rFonts w:ascii="Courier New" w:hAnsi="Courier New" w:cs="Courier New" w:hint="default"/>
      </w:rPr>
    </w:lvl>
    <w:lvl w:ilvl="8" w:tplc="04260005" w:tentative="1">
      <w:start w:val="1"/>
      <w:numFmt w:val="bullet"/>
      <w:lvlText w:val=""/>
      <w:lvlJc w:val="left"/>
      <w:pPr>
        <w:ind w:left="691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919"/>
    <w:rsid w:val="000B7919"/>
    <w:rsid w:val="00200DAA"/>
    <w:rsid w:val="00253902"/>
    <w:rsid w:val="002B3405"/>
    <w:rsid w:val="002D5C05"/>
    <w:rsid w:val="00387334"/>
    <w:rsid w:val="004A47AC"/>
    <w:rsid w:val="00526224"/>
    <w:rsid w:val="005766AC"/>
    <w:rsid w:val="007C07EE"/>
    <w:rsid w:val="00801DD0"/>
    <w:rsid w:val="00A563EA"/>
    <w:rsid w:val="00C36729"/>
    <w:rsid w:val="00DB575F"/>
    <w:rsid w:val="00DB7D5F"/>
    <w:rsid w:val="00E44C66"/>
    <w:rsid w:val="00E74D49"/>
    <w:rsid w:val="00E77323"/>
    <w:rsid w:val="00F04CDA"/>
    <w:rsid w:val="00F41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A2444"/>
  <w15:chartTrackingRefBased/>
  <w15:docId w15:val="{FFBC2A58-7FD4-4FD2-B6EE-D7FCB9F6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91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B7919"/>
    <w:pPr>
      <w:spacing w:before="100" w:beforeAutospacing="1" w:after="100" w:afterAutospacing="1"/>
    </w:pPr>
  </w:style>
  <w:style w:type="character" w:styleId="Hyperlink">
    <w:name w:val="Hyperlink"/>
    <w:rsid w:val="000B7919"/>
    <w:rPr>
      <w:color w:val="0000FF"/>
      <w:u w:val="single"/>
    </w:rPr>
  </w:style>
  <w:style w:type="paragraph" w:styleId="Header">
    <w:name w:val="header"/>
    <w:basedOn w:val="Normal"/>
    <w:link w:val="HeaderChar"/>
    <w:rsid w:val="000B7919"/>
    <w:pPr>
      <w:tabs>
        <w:tab w:val="center" w:pos="4153"/>
        <w:tab w:val="right" w:pos="8306"/>
      </w:tabs>
    </w:pPr>
  </w:style>
  <w:style w:type="character" w:customStyle="1" w:styleId="HeaderChar">
    <w:name w:val="Header Char"/>
    <w:basedOn w:val="DefaultParagraphFont"/>
    <w:link w:val="Header"/>
    <w:rsid w:val="000B7919"/>
    <w:rPr>
      <w:rFonts w:ascii="Times New Roman" w:eastAsia="Times New Roman" w:hAnsi="Times New Roman" w:cs="Times New Roman"/>
      <w:sz w:val="24"/>
      <w:szCs w:val="24"/>
      <w:lang w:eastAsia="lv-LV"/>
    </w:rPr>
  </w:style>
  <w:style w:type="paragraph" w:styleId="Footer">
    <w:name w:val="footer"/>
    <w:basedOn w:val="Normal"/>
    <w:link w:val="FooterChar"/>
    <w:rsid w:val="000B7919"/>
    <w:pPr>
      <w:tabs>
        <w:tab w:val="center" w:pos="4153"/>
        <w:tab w:val="right" w:pos="8306"/>
      </w:tabs>
    </w:pPr>
  </w:style>
  <w:style w:type="character" w:customStyle="1" w:styleId="FooterChar">
    <w:name w:val="Footer Char"/>
    <w:basedOn w:val="DefaultParagraphFont"/>
    <w:link w:val="Footer"/>
    <w:rsid w:val="000B7919"/>
    <w:rPr>
      <w:rFonts w:ascii="Times New Roman" w:eastAsia="Times New Roman" w:hAnsi="Times New Roman" w:cs="Times New Roman"/>
      <w:sz w:val="24"/>
      <w:szCs w:val="24"/>
      <w:lang w:eastAsia="lv-LV"/>
    </w:rPr>
  </w:style>
  <w:style w:type="character" w:styleId="PageNumber">
    <w:name w:val="page number"/>
    <w:basedOn w:val="DefaultParagraphFont"/>
    <w:rsid w:val="000B7919"/>
  </w:style>
  <w:style w:type="paragraph" w:styleId="ListParagraph">
    <w:name w:val="List Paragraph"/>
    <w:basedOn w:val="Normal"/>
    <w:uiPriority w:val="34"/>
    <w:qFormat/>
    <w:rsid w:val="000B7919"/>
    <w:pPr>
      <w:spacing w:after="200" w:line="276" w:lineRule="auto"/>
      <w:ind w:left="720"/>
      <w:contextualSpacing/>
    </w:pPr>
    <w:rPr>
      <w:rFonts w:ascii="Calibri" w:eastAsia="Calibri" w:hAnsi="Calibri"/>
      <w:sz w:val="22"/>
      <w:szCs w:val="22"/>
      <w:lang w:val="en-US" w:eastAsia="en-US"/>
    </w:rPr>
  </w:style>
  <w:style w:type="character" w:customStyle="1" w:styleId="FontStyle20">
    <w:name w:val="Font Style20"/>
    <w:uiPriority w:val="99"/>
    <w:rsid w:val="000B7919"/>
    <w:rPr>
      <w:rFonts w:ascii="Arial" w:hAnsi="Arial" w:cs="Arial"/>
      <w:b/>
      <w:bCs/>
      <w:color w:val="000000"/>
      <w:sz w:val="30"/>
      <w:szCs w:val="30"/>
    </w:rPr>
  </w:style>
  <w:style w:type="paragraph" w:customStyle="1" w:styleId="naiskr">
    <w:name w:val="naiskr"/>
    <w:basedOn w:val="Normal"/>
    <w:rsid w:val="000B7919"/>
    <w:pPr>
      <w:spacing w:before="75" w:after="75"/>
    </w:pPr>
  </w:style>
  <w:style w:type="character" w:styleId="CommentReference">
    <w:name w:val="annotation reference"/>
    <w:basedOn w:val="DefaultParagraphFont"/>
    <w:uiPriority w:val="99"/>
    <w:semiHidden/>
    <w:unhideWhenUsed/>
    <w:rsid w:val="00E74D49"/>
    <w:rPr>
      <w:sz w:val="16"/>
      <w:szCs w:val="16"/>
    </w:rPr>
  </w:style>
  <w:style w:type="paragraph" w:styleId="CommentText">
    <w:name w:val="annotation text"/>
    <w:basedOn w:val="Normal"/>
    <w:link w:val="CommentTextChar"/>
    <w:uiPriority w:val="99"/>
    <w:semiHidden/>
    <w:unhideWhenUsed/>
    <w:rsid w:val="00E74D49"/>
    <w:rPr>
      <w:sz w:val="20"/>
      <w:szCs w:val="20"/>
    </w:rPr>
  </w:style>
  <w:style w:type="character" w:customStyle="1" w:styleId="CommentTextChar">
    <w:name w:val="Comment Text Char"/>
    <w:basedOn w:val="DefaultParagraphFont"/>
    <w:link w:val="CommentText"/>
    <w:uiPriority w:val="99"/>
    <w:semiHidden/>
    <w:rsid w:val="00E74D4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74D49"/>
    <w:rPr>
      <w:b/>
      <w:bCs/>
    </w:rPr>
  </w:style>
  <w:style w:type="character" w:customStyle="1" w:styleId="CommentSubjectChar">
    <w:name w:val="Comment Subject Char"/>
    <w:basedOn w:val="CommentTextChar"/>
    <w:link w:val="CommentSubject"/>
    <w:uiPriority w:val="99"/>
    <w:semiHidden/>
    <w:rsid w:val="00E74D49"/>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E74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D4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Pages>
  <Words>5779</Words>
  <Characters>3295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AST</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Āboliņa</dc:creator>
  <cp:keywords/>
  <dc:description/>
  <cp:lastModifiedBy>Zane Āboliņa</cp:lastModifiedBy>
  <cp:revision>3</cp:revision>
  <dcterms:created xsi:type="dcterms:W3CDTF">2021-08-31T07:32:00Z</dcterms:created>
  <dcterms:modified xsi:type="dcterms:W3CDTF">2021-09-02T12:48:00Z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Enabled">
    <vt:lpwstr>true</vt:lpwstr>
  </property>
  <property fmtid="{D5CDD505-2E9C-101B-9397-08002B2CF9AE}" pid="3" name="MSIP_Label_66cffd26-8a8e-4271-ae8c-0448cc98c6fa_SetDate">
    <vt:lpwstr>2021-08-31T07:32:54Z</vt:lpwstr>
  </property>
  <property fmtid="{D5CDD505-2E9C-101B-9397-08002B2CF9AE}" pid="4" name="MSIP_Label_66cffd26-8a8e-4271-ae8c-0448cc98c6fa_Method">
    <vt:lpwstr>Standard</vt:lpwstr>
  </property>
  <property fmtid="{D5CDD505-2E9C-101B-9397-08002B2CF9AE}" pid="5" name="MSIP_Label_66cffd26-8a8e-4271-ae8c-0448cc98c6fa_Name">
    <vt:lpwstr>AST dokumenti</vt:lpwstr>
  </property>
  <property fmtid="{D5CDD505-2E9C-101B-9397-08002B2CF9AE}" pid="6" name="MSIP_Label_66cffd26-8a8e-4271-ae8c-0448cc98c6fa_SiteId">
    <vt:lpwstr>c4c0dd7c-1dfb-4088-9303-96b608da35b3</vt:lpwstr>
  </property>
  <property fmtid="{D5CDD505-2E9C-101B-9397-08002B2CF9AE}" pid="7" name="MSIP_Label_66cffd26-8a8e-4271-ae8c-0448cc98c6fa_ActionId">
    <vt:lpwstr>50cc2248-f561-49e4-9542-a1b82edf96dd</vt:lpwstr>
  </property>
  <property fmtid="{D5CDD505-2E9C-101B-9397-08002B2CF9AE}" pid="8" name="MSIP_Label_66cffd26-8a8e-4271-ae8c-0448cc98c6fa_ContentBits">
    <vt:lpwstr>0</vt:lpwstr>
  </property>
</Properties>
</file>