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  <w:spacing w:before="240" w:beforeAutospacing="0"/>
        <w:spacing w:after="240" w:afterAutospacing="0"/>
        <w:spacing w:lineRule="auto" w:line="240"/>
        <w:pBdr/>
        <w:rPr>
          <w:sz w:val="28"/>
          <w:b w:val="1"/>
          <w:rtl w:val="0"/>
        </w:rPr>
      </w:pPr>
      <w:r w:rsidR="00000000" w:rsidRPr="00000000" w:rsidDel="00000000">
        <w:rPr>
          <w:sz w:val="28"/>
          <w:b w:val="1"/>
          <w:rtl w:val="0"/>
        </w:rPr>
        <w:t xml:space="preserve"/>
      </w:r>
      <w:r w:rsidR="00000000" w:rsidRPr="00000000" w:rsidDel="00000000">
        <w:rPr>
          <w:sz w:val="28"/>
          <w:b w:val="1"/>
          <w:rtl w:val="0"/>
        </w:rPr>
        <w:t xml:space="preserve">23-TA-494: Noteikumu projekts (Grozījumi)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tl w:val="0"/>
        </w:rPr>
        <w:t xml:space="preserve">Grozījums Ministru kabineta 2012. gada 26. jūnija noteikumos Nr. 451 "Noteikumi par zvērinātu tiesu izpildītāju amata atlīdzības taksēm"</w:t>
      </w:r>
    </w:p>
    <w:tbl>
      <w:tblPr>
        <w:tblStyle w:val="DefaultTable"/>
        <w:bidiVisual w:val="0"/>
        <w:tblW w:w="14567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900"/>
        <w:gridCol w:w="3000"/>
        <w:gridCol w:w="3000"/>
        <w:gridCol w:w="3000"/>
        <w:gridCol w:w="3000"/>
        <w:tblGridChange w:id="0">
          <w:tblGrid>
            <w:gridCol w:w="900"/>
            <w:gridCol w:w="3000"/>
            <w:gridCol w:w="3000"/>
            <w:gridCol w:w="3000"/>
            <w:gridCol w:w="30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Saskaņošanai nosūtītā 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Apstrādes informācija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Galīgā redakcija</w:t>
            </w:r>
          </w:p>
        </w:tc>
      </w:tr>
      <w:tr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1.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Anotācija (ex-ante)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 Tiesību akta projekta ietekme uz valsts budžetu un pašvaldību budžetiem 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Priekšlikums (FM - 28.02.2023.)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Lūdzam papildināt anotācijas 3.sadaļu, punktā “Cita informācija” norādot, ka minētais papildu finansējums ir iekļauts likumprojektā “Par valsts budžetu 2023. gadam un budžeta ietvaru 2023., 2024. un 2025. gadam”.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 </w:t>
            </w:r>
          </w:p>
          <w:p w:rsidP="00000000" w:rsidRDefault="00000000" w:rsidR="00000000" w:rsidRPr="00000000" w:rsidDel="00000000">
            <w:pPr>
              <w:contextualSpacing w:val="0"/>
              <w:spacing w:before="240" w:beforeAutospacing="0"/>
              <w:spacing w:after="240" w:afterAutospacing="0"/>
              <w:spacing w:lineRule="auto" w:line="240"/>
              <w:pBdr/>
              <w:rPr>
                <w:i w:val="1"/>
                <w:rtl w:val="0"/>
              </w:rPr>
            </w:pPr>
            <w:r w:rsidR="00000000" w:rsidRPr="00000000" w:rsidDel="00000000">
              <w:rPr>
                <w:i w:val="1"/>
                <w:rtl w:val="0"/>
              </w:rPr>
              <w:t xml:space="preserve"/>
            </w:r>
            <w:r w:rsidR="00000000" w:rsidRPr="00000000" w:rsidDel="00000000">
              <w:rPr>
                <w:i w:val="1"/>
                <w:rtl w:val="0"/>
              </w:rPr>
              <w:t xml:space="preserve">Piedāvātā redakcija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Ņemts vērā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Atbilstoši izteiktajam priekšlikumam precizēta informācija noteikumu projekta anotācijas 3. sadaļā. 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3. Tiesību akta projekta ietekme uz valsts budžetu un pašvaldību budžetiem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6833" w:h="11908" w:orient="landscape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23-TA-494</w:t>
    </w:r>
    <w:r>
      <w:br/>
    </w:r>
    <w:r w:rsidR="00000000" w:rsidRPr="00000000" w:rsidDel="00000000">
      <w:rPr>
        <w:rtl w:val="0"/>
      </w:rPr>
      <w:t xml:space="preserve">02.03.2023. 20.54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23-TA-494</w:t>
    </w:r>
    <w:r>
      <w:br/>
    </w:r>
    <w:r w:rsidR="00000000" w:rsidRPr="00000000" w:rsidDel="00000000">
      <w:rPr>
        <w:rtl w:val="0"/>
      </w:rPr>
      <w:t xml:space="preserve">02.03.2023. 20.54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both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after="280"/>
      <w:contextualSpacing w:val="1"/>
    </w:pPr>
    <w:rPr>
      <w:b w:val="1"/>
      <w:sz w:val="28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signed_document_paragraph" w:type="paragraph">
    <w:name w:val="signed_document_paragraph"/>
    <w:basedOn w:val="Normal"/>
    <w:next w:val="Normal"/>
    <w:pPr>
      <w:keepNext w:val="0"/>
      <w:keepLines w:val="0"/>
      <w:widowControl w:val="1"/>
      <w:contextualSpacing w:val="1"/>
      <w:jc w:val="right"/>
    </w:pPr>
    <w:rPr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Izziņa_23-TA-494.docx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