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2022. gada 21. jūnija noteikumu Nr. 377 "Noteikumi par garantiju programmu pret Ukrainu vērstās Krievijas militārās agresijas radīto ekonomisko seku mazināšanai" atzīšanu par spēku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anotācijā ietvertos skaidrojumus ar noteikumu projektu. Piemēram, anotācijā norādīts, ka "</w:t>
            </w:r>
            <w:r w:rsidR="00000000" w:rsidRPr="00000000" w:rsidDel="00000000">
              <w:rPr>
                <w:i w:val="1"/>
                <w:rtl w:val="0"/>
              </w:rPr>
              <w:t xml:space="preserve">Ministru kabineta noteikumu projekts "Par atsevišķu Ministru kabineta noteikumu atzīšanu par spēku zaudējušu" (turpmāk – Noteikumu projekts) ir sagatavots, lai tajā minētos normatīvos aktus noteiktu par spēku zaudējušu."</w:t>
            </w:r>
            <w:r w:rsidR="00000000" w:rsidRPr="00000000" w:rsidDel="00000000">
              <w:rPr>
                <w:rtl w:val="0"/>
              </w:rPr>
              <w:t xml:space="preserve">, kaut arī noteikumu projekts paredz atzīt par spēku zaudējušiem tikai vienus Ministru kabineta noteikumus - Ministru kabineta 2022.gada 21.jūnija noteikumus Nr.377 "Noteikumi par garantiju programmu pret Ukrainu vērstās Krievijas militārās agresijas radīto ekonomisko seku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"Paredzēt, ka Noteikumu projektā minētie MK noteikumi Nr.377 zaudē spēku, jo tie nav aktuāli atbalsta saņēmējiem un vairs netiek piemēroti." </w:t>
            </w:r>
            <w:r w:rsidR="00000000" w:rsidRPr="00000000" w:rsidDel="00000000">
              <w:rPr>
                <w:rtl w:val="0"/>
              </w:rPr>
              <w:t xml:space="preserve">Aicinām anotācijā skaidrot, vai atbalsta programmas ietvaros ir izsniegtas garantijas, kā arī izvērstāk skaidrot, kādēļ paredzēts tieši šāds risinājums - atzīt noteikumus par spēku zaudējušiem (nevis, piemēram, grozīt noteikumus Nr. 377 attiecībā uz finansējumu vai garantiju izsniegšanas termiņu). Ja garantijas izsniegtas, aicinām precizēt iepriekš minēto anotācijas skaidrojumu par noteikumu Nr. 377 aktualitāti un piemērošanu, ņemot vērā, ka attiecībā uz izsniegtām garantijām noteikti noteikumu Nr. 377 aspekti tiek un tiks piemēroti (sk., piemēram, 14. punktu par garantijas darbības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neviens komersants nav griezies pēc atbalsta, līdz ar to šie noteikumi zaudē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 skaidrojuma (piemēram: </w:t>
            </w:r>
            <w:r w:rsidR="00000000" w:rsidRPr="00000000" w:rsidDel="00000000">
              <w:rPr>
                <w:i w:val="1"/>
                <w:rtl w:val="0"/>
              </w:rPr>
              <w:t xml:space="preserve">"Tādēļ valsts budžeta finansējumu 12 500 000 EUR apmērā tiek pārcelts Ministru kabineta 2021. gada 6. jūlija noteikumos Nr. 503 "Noteikumi par aizdevumiem ar kapitāla atlaidi investīciju projektiem komersantiem konkurētspējas veicināšanai" paredzētajam atbalstam."</w:t>
            </w:r>
            <w:r w:rsidR="00000000" w:rsidRPr="00000000" w:rsidDel="00000000">
              <w:rPr>
                <w:rtl w:val="0"/>
              </w:rPr>
              <w:t xml:space="preserve">), šķiet, izriet, ka reizē ar projekta virzīšanu ir nepieciešams un paredzēts veikt grozījumus Ministru kabineta 2021. gada 6. jūlija noteikumos Nr. 503 "Noteikumi par aizdevumiem ar kapitāla atlaidi investīciju projektiem komersantiem konkurētspējas veicināšanai". Attiecīgi aicinām aizpildīt anotācijas 4. sadaļu par saistīto tiesību akta projektu, kā arī attiecīgi nodrošināt abu projektu vienlaicīgu virzību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aizpildīt anotācijas 2. sadaļu, skaidrojot, vai un kā noteikumu projekts ietekmēs akciju sabiedrību "Attīstības finanšu institūcija Altum", kā arī saimnieciskās darbības veicējus, kas saņēmuši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anotāicjā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informāciju” norādīt, ka no garantiju programmas uz aizdevumiem ar kapitāla atlaidi pārdalāmais finansējums 12 500 000 euro apmērā ir ieskaitīts ALTUM budžetā, līdz ar to ietekmes uz valsts budžetu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23-TA-1945</w:t>
    </w:r>
    <w:r>
      <w:br/>
    </w:r>
    <w:r w:rsidR="00000000" w:rsidRPr="00000000" w:rsidDel="00000000">
      <w:rPr>
        <w:rtl w:val="0"/>
      </w:rPr>
      <w:t xml:space="preserve">26.10.2023. 11.46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23-TA-1945</w:t>
    </w:r>
    <w:r>
      <w:br/>
    </w:r>
    <w:r w:rsidR="00000000" w:rsidRPr="00000000" w:rsidDel="00000000">
      <w:rPr>
        <w:rtl w:val="0"/>
      </w:rPr>
      <w:t xml:space="preserve">26.10.2023. 11.46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Izziņa_23-TA-1945.docx</dc:title>
</cp:coreProperties>
</file>

<file path=docProps/custom.xml><?xml version="1.0" encoding="utf-8"?>
<Properties xmlns="http://schemas.openxmlformats.org/officeDocument/2006/custom-properties" xmlns:vt="http://schemas.openxmlformats.org/officeDocument/2006/docPropsVTypes"/>
</file>