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2A84" w14:textId="77777777" w:rsidR="00774D8B" w:rsidRPr="00774D8B" w:rsidRDefault="002E7CBB" w:rsidP="00774D8B">
      <w:pPr>
        <w:jc w:val="right"/>
        <w:rPr>
          <w:rFonts w:cstheme="minorHAnsi"/>
          <w:sz w:val="20"/>
          <w:szCs w:val="20"/>
        </w:rPr>
      </w:pPr>
      <w:r w:rsidRPr="00774D8B">
        <w:rPr>
          <w:rFonts w:cstheme="minorHAnsi"/>
          <w:sz w:val="20"/>
          <w:szCs w:val="20"/>
        </w:rPr>
        <w:t>Latvijas Piekt</w:t>
      </w:r>
      <w:r w:rsidR="00774D8B" w:rsidRPr="00774D8B">
        <w:rPr>
          <w:rFonts w:cstheme="minorHAnsi"/>
          <w:sz w:val="20"/>
          <w:szCs w:val="20"/>
        </w:rPr>
        <w:t>ais</w:t>
      </w:r>
      <w:r w:rsidRPr="00774D8B">
        <w:rPr>
          <w:rFonts w:cstheme="minorHAnsi"/>
          <w:sz w:val="20"/>
          <w:szCs w:val="20"/>
        </w:rPr>
        <w:t xml:space="preserve"> nacionāl</w:t>
      </w:r>
      <w:r w:rsidR="00774D8B" w:rsidRPr="00774D8B">
        <w:rPr>
          <w:rFonts w:cstheme="minorHAnsi"/>
          <w:sz w:val="20"/>
          <w:szCs w:val="20"/>
        </w:rPr>
        <w:t>ais</w:t>
      </w:r>
      <w:r w:rsidRPr="00774D8B">
        <w:rPr>
          <w:rFonts w:cstheme="minorHAnsi"/>
          <w:sz w:val="20"/>
          <w:szCs w:val="20"/>
        </w:rPr>
        <w:t xml:space="preserve"> atvērtās pārvaldības rīcības plān</w:t>
      </w:r>
      <w:r w:rsidR="00774D8B" w:rsidRPr="00774D8B">
        <w:rPr>
          <w:rFonts w:cstheme="minorHAnsi"/>
          <w:sz w:val="20"/>
          <w:szCs w:val="20"/>
        </w:rPr>
        <w:t>s</w:t>
      </w:r>
      <w:r w:rsidRPr="00774D8B">
        <w:rPr>
          <w:rFonts w:cstheme="minorHAnsi"/>
          <w:sz w:val="20"/>
          <w:szCs w:val="20"/>
        </w:rPr>
        <w:t xml:space="preserve"> 2022. – 2025. gadam </w:t>
      </w:r>
    </w:p>
    <w:p w14:paraId="0481A794" w14:textId="5F41BFD8" w:rsidR="002E7CBB" w:rsidRPr="00774D8B" w:rsidRDefault="00774D8B" w:rsidP="00FA3A23">
      <w:pPr>
        <w:jc w:val="center"/>
        <w:rPr>
          <w:rFonts w:cstheme="minorHAnsi"/>
          <w:b/>
          <w:bCs/>
          <w:sz w:val="20"/>
          <w:szCs w:val="20"/>
        </w:rPr>
      </w:pPr>
      <w:r>
        <w:rPr>
          <w:rFonts w:cstheme="minorHAnsi"/>
          <w:b/>
          <w:bCs/>
          <w:sz w:val="20"/>
          <w:szCs w:val="20"/>
        </w:rPr>
        <w:t xml:space="preserve">Darba </w:t>
      </w:r>
      <w:r w:rsidR="00B34464" w:rsidRPr="00774D8B">
        <w:rPr>
          <w:rFonts w:cstheme="minorHAnsi"/>
          <w:b/>
          <w:bCs/>
          <w:sz w:val="20"/>
          <w:szCs w:val="20"/>
        </w:rPr>
        <w:t>grup</w:t>
      </w:r>
      <w:r>
        <w:rPr>
          <w:rFonts w:cstheme="minorHAnsi"/>
          <w:b/>
          <w:bCs/>
          <w:sz w:val="20"/>
          <w:szCs w:val="20"/>
        </w:rPr>
        <w:t>u sniegtie</w:t>
      </w:r>
      <w:r w:rsidR="00B34464" w:rsidRPr="00774D8B">
        <w:rPr>
          <w:rFonts w:cstheme="minorHAnsi"/>
          <w:b/>
          <w:bCs/>
          <w:sz w:val="20"/>
          <w:szCs w:val="20"/>
        </w:rPr>
        <w:t xml:space="preserve"> viedokļ</w:t>
      </w:r>
      <w:r>
        <w:rPr>
          <w:rFonts w:cstheme="minorHAnsi"/>
          <w:b/>
          <w:bCs/>
          <w:sz w:val="20"/>
          <w:szCs w:val="20"/>
        </w:rPr>
        <w:t>i</w:t>
      </w:r>
      <w:r w:rsidR="00B34464" w:rsidRPr="00774D8B">
        <w:rPr>
          <w:rFonts w:cstheme="minorHAnsi"/>
          <w:b/>
          <w:bCs/>
          <w:sz w:val="20"/>
          <w:szCs w:val="20"/>
        </w:rPr>
        <w:t xml:space="preserve"> par dokumenta projektu pirms publisk</w:t>
      </w:r>
      <w:r w:rsidR="006332B4" w:rsidRPr="00774D8B">
        <w:rPr>
          <w:rFonts w:cstheme="minorHAnsi"/>
          <w:b/>
          <w:bCs/>
          <w:sz w:val="20"/>
          <w:szCs w:val="20"/>
        </w:rPr>
        <w:t>ās</w:t>
      </w:r>
      <w:r w:rsidR="00B34464" w:rsidRPr="00774D8B">
        <w:rPr>
          <w:rFonts w:cstheme="minorHAnsi"/>
          <w:b/>
          <w:bCs/>
          <w:sz w:val="20"/>
          <w:szCs w:val="20"/>
        </w:rPr>
        <w:t xml:space="preserve"> apspriešana</w:t>
      </w:r>
      <w:r w:rsidR="006332B4" w:rsidRPr="00774D8B">
        <w:rPr>
          <w:rFonts w:cstheme="minorHAnsi"/>
          <w:b/>
          <w:bCs/>
          <w:sz w:val="20"/>
          <w:szCs w:val="20"/>
        </w:rPr>
        <w:t>s</w:t>
      </w:r>
      <w:r w:rsidR="00B34464" w:rsidRPr="00774D8B">
        <w:rPr>
          <w:rFonts w:cstheme="minorHAnsi"/>
          <w:b/>
          <w:bCs/>
          <w:sz w:val="20"/>
          <w:szCs w:val="20"/>
        </w:rPr>
        <w:t xml:space="preserve"> un saskaņošana</w:t>
      </w:r>
      <w:r w:rsidR="006332B4" w:rsidRPr="00774D8B">
        <w:rPr>
          <w:rFonts w:cstheme="minorHAnsi"/>
          <w:b/>
          <w:bCs/>
          <w:sz w:val="20"/>
          <w:szCs w:val="20"/>
        </w:rPr>
        <w:t>s</w:t>
      </w:r>
    </w:p>
    <w:tbl>
      <w:tblPr>
        <w:tblStyle w:val="GridTable1Light-Accent2"/>
        <w:tblW w:w="0" w:type="auto"/>
        <w:tblLook w:val="04A0" w:firstRow="1" w:lastRow="0" w:firstColumn="1" w:lastColumn="0" w:noHBand="0" w:noVBand="1"/>
      </w:tblPr>
      <w:tblGrid>
        <w:gridCol w:w="1894"/>
        <w:gridCol w:w="1187"/>
        <w:gridCol w:w="7326"/>
        <w:gridCol w:w="3541"/>
      </w:tblGrid>
      <w:tr w:rsidR="00B34464" w:rsidRPr="00FA3A23" w14:paraId="63F1C9BF" w14:textId="77777777" w:rsidTr="00B34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03563ECD" w14:textId="5F8A9726" w:rsidR="00E404A3" w:rsidRPr="00FA3A23" w:rsidRDefault="00E404A3" w:rsidP="00FA3A23">
            <w:pPr>
              <w:rPr>
                <w:rFonts w:cstheme="minorHAnsi"/>
                <w:sz w:val="20"/>
                <w:szCs w:val="20"/>
              </w:rPr>
            </w:pPr>
            <w:r w:rsidRPr="00FA3A23">
              <w:rPr>
                <w:rFonts w:cstheme="minorHAnsi"/>
                <w:sz w:val="20"/>
                <w:szCs w:val="20"/>
              </w:rPr>
              <w:t>Priekšlikuma autors</w:t>
            </w:r>
          </w:p>
        </w:tc>
        <w:tc>
          <w:tcPr>
            <w:tcW w:w="1187" w:type="dxa"/>
          </w:tcPr>
          <w:p w14:paraId="0FCA34E1" w14:textId="5935BF01" w:rsidR="00E404A3" w:rsidRPr="00FA3A23" w:rsidRDefault="00E404A3" w:rsidP="00FA3A23">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Datums</w:t>
            </w:r>
          </w:p>
        </w:tc>
        <w:tc>
          <w:tcPr>
            <w:tcW w:w="0" w:type="auto"/>
          </w:tcPr>
          <w:p w14:paraId="5B5B54E8" w14:textId="13DCBF09" w:rsidR="00E404A3" w:rsidRPr="00FA3A23" w:rsidRDefault="00E404A3" w:rsidP="00FA3A23">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Priekšlikums</w:t>
            </w:r>
          </w:p>
        </w:tc>
        <w:tc>
          <w:tcPr>
            <w:tcW w:w="0" w:type="auto"/>
          </w:tcPr>
          <w:p w14:paraId="59D538D3" w14:textId="55CEA762" w:rsidR="00E404A3" w:rsidRPr="00FA3A23" w:rsidRDefault="00E404A3" w:rsidP="00FA3A23">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Kā ņemts vērā</w:t>
            </w:r>
          </w:p>
        </w:tc>
      </w:tr>
      <w:tr w:rsidR="00B34464" w:rsidRPr="00FA3A23" w14:paraId="79FFC05A" w14:textId="77777777" w:rsidTr="00B34464">
        <w:tc>
          <w:tcPr>
            <w:cnfStyle w:val="001000000000" w:firstRow="0" w:lastRow="0" w:firstColumn="1" w:lastColumn="0" w:oddVBand="0" w:evenVBand="0" w:oddHBand="0" w:evenHBand="0" w:firstRowFirstColumn="0" w:firstRowLastColumn="0" w:lastRowFirstColumn="0" w:lastRowLastColumn="0"/>
            <w:tcW w:w="1894" w:type="dxa"/>
          </w:tcPr>
          <w:p w14:paraId="795E3D0C" w14:textId="71C854D5" w:rsidR="002E7CBB" w:rsidRPr="00FA3A23" w:rsidRDefault="002E7CBB" w:rsidP="00FA3A23">
            <w:pPr>
              <w:rPr>
                <w:rFonts w:cstheme="minorHAnsi"/>
                <w:color w:val="000000"/>
                <w:sz w:val="20"/>
                <w:szCs w:val="20"/>
                <w:lang w:eastAsia="en-GB"/>
              </w:rPr>
            </w:pPr>
            <w:r w:rsidRPr="00FA3A23">
              <w:rPr>
                <w:rFonts w:cstheme="minorHAnsi"/>
                <w:color w:val="000000"/>
                <w:sz w:val="20"/>
                <w:szCs w:val="20"/>
                <w:lang w:eastAsia="en-GB"/>
              </w:rPr>
              <w:t>Biedrība “Sabiedrības par atklātību – Delna”</w:t>
            </w:r>
          </w:p>
        </w:tc>
        <w:tc>
          <w:tcPr>
            <w:tcW w:w="1187" w:type="dxa"/>
          </w:tcPr>
          <w:p w14:paraId="478D95B1" w14:textId="16E16C36"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color w:val="000000"/>
                <w:sz w:val="20"/>
                <w:szCs w:val="20"/>
                <w:lang w:eastAsia="en-GB"/>
              </w:rPr>
              <w:t xml:space="preserve"> 22.09.2021.</w:t>
            </w:r>
          </w:p>
        </w:tc>
        <w:tc>
          <w:tcPr>
            <w:tcW w:w="0" w:type="auto"/>
          </w:tcPr>
          <w:p w14:paraId="66C19904" w14:textId="437F67F5"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eastAsia="en-GB"/>
              </w:rPr>
            </w:pPr>
            <w:r w:rsidRPr="00FA3A23">
              <w:rPr>
                <w:rFonts w:cstheme="minorHAnsi"/>
                <w:b/>
                <w:bCs/>
                <w:color w:val="000000"/>
                <w:sz w:val="20"/>
                <w:szCs w:val="20"/>
                <w:u w:val="single"/>
                <w:shd w:val="clear" w:color="auto" w:fill="FFFFFF"/>
                <w:lang w:eastAsia="en-GB"/>
              </w:rPr>
              <w:t>1. rīcības virziens:  Jēgpilna un efektīva sabiedrības līdzdalība izsvērtu un kvalitatīvu lēmumu izstrādei</w:t>
            </w:r>
            <w:r w:rsidR="00FA3A23" w:rsidRPr="00FA3A23">
              <w:rPr>
                <w:rFonts w:cstheme="minorHAnsi"/>
                <w:b/>
                <w:bCs/>
                <w:color w:val="000000"/>
                <w:sz w:val="20"/>
                <w:szCs w:val="20"/>
                <w:u w:val="single"/>
                <w:shd w:val="clear" w:color="auto" w:fill="FFFFFF"/>
                <w:lang w:eastAsia="en-GB"/>
              </w:rPr>
              <w:t>:</w:t>
            </w:r>
            <w:r w:rsidRPr="00FA3A23">
              <w:rPr>
                <w:rFonts w:cstheme="minorHAnsi"/>
                <w:b/>
                <w:bCs/>
                <w:color w:val="000000"/>
                <w:sz w:val="20"/>
                <w:szCs w:val="20"/>
                <w:u w:val="single"/>
                <w:shd w:val="clear" w:color="auto" w:fill="FFFFFF"/>
                <w:lang w:eastAsia="en-GB"/>
              </w:rPr>
              <w:t> </w:t>
            </w:r>
          </w:p>
          <w:p w14:paraId="13AA689B" w14:textId="77777777"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FA3A23">
              <w:rPr>
                <w:rFonts w:cstheme="minorHAnsi"/>
                <w:color w:val="000000"/>
                <w:sz w:val="20"/>
                <w:szCs w:val="20"/>
                <w:lang w:eastAsia="en-GB"/>
              </w:rPr>
              <w:t xml:space="preserve">Pie 1. rīcības virziena 2. apņemšanās būtu ieteicams kā sadarbības partnerus </w:t>
            </w:r>
            <w:r w:rsidRPr="00FA3A23">
              <w:rPr>
                <w:rFonts w:cstheme="minorHAnsi"/>
                <w:b/>
                <w:bCs/>
                <w:color w:val="000000"/>
                <w:sz w:val="20"/>
                <w:szCs w:val="20"/>
                <w:lang w:eastAsia="en-GB"/>
              </w:rPr>
              <w:t>pielikt arī jauniešu organizācijas (piemēram, Latvijas Jaunatnes padomi).</w:t>
            </w:r>
            <w:r w:rsidRPr="00FA3A23">
              <w:rPr>
                <w:rFonts w:cstheme="minorHAnsi"/>
                <w:color w:val="000000"/>
                <w:sz w:val="20"/>
                <w:szCs w:val="20"/>
                <w:lang w:eastAsia="en-GB"/>
              </w:rPr>
              <w:t xml:space="preserve"> </w:t>
            </w:r>
          </w:p>
          <w:p w14:paraId="1DB47767" w14:textId="09C3F075"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color w:val="000000"/>
                <w:sz w:val="20"/>
                <w:szCs w:val="20"/>
                <w:lang w:eastAsia="en-GB"/>
              </w:rPr>
              <w:t xml:space="preserve">Kopumā visas apņemšanās raksturo tas, ka tās tiek ieviestas ar valsts pārvaldes aktīvu darbību, un ir jāpaļaujas, ka attiecīgas iestādes savā darbībā ņem vērā sabiedrības viedokli, tādēļ būtu paredzama (ierakstāma) arī sabiedrības iesaiste. </w:t>
            </w:r>
            <w:r w:rsidRPr="00FA3A23">
              <w:rPr>
                <w:rFonts w:cstheme="minorHAnsi"/>
                <w:b/>
                <w:bCs/>
                <w:color w:val="000000"/>
                <w:sz w:val="20"/>
                <w:szCs w:val="20"/>
                <w:lang w:eastAsia="en-GB"/>
              </w:rPr>
              <w:t>Varbūt jāapsver arī kāda neatkarīga eksperta (vai NVO) piesaiste.</w:t>
            </w:r>
          </w:p>
        </w:tc>
        <w:tc>
          <w:tcPr>
            <w:tcW w:w="0" w:type="auto"/>
          </w:tcPr>
          <w:p w14:paraId="0B7F6AE0" w14:textId="42BCE04C"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Pie 2. apņemšanās papildināts ar jauniešu organizācijām.</w:t>
            </w:r>
          </w:p>
          <w:p w14:paraId="276E6BC9" w14:textId="71CEB7C0"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Pie 3. apņemšanās papildināts</w:t>
            </w:r>
            <w:r w:rsidR="00B34464">
              <w:rPr>
                <w:rFonts w:cstheme="minorHAnsi"/>
                <w:sz w:val="20"/>
                <w:szCs w:val="20"/>
              </w:rPr>
              <w:t xml:space="preserve"> ar -</w:t>
            </w:r>
          </w:p>
          <w:p w14:paraId="68059DB1" w14:textId="77777777"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lang w:eastAsia="en-GB"/>
              </w:rPr>
              <w:t>Neatkarīga eksperta vai NVO piesaiste</w:t>
            </w:r>
          </w:p>
          <w:p w14:paraId="2F556490" w14:textId="3233D29E"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34464" w:rsidRPr="00FA3A23" w14:paraId="22A97344" w14:textId="77777777" w:rsidTr="00B34464">
        <w:tc>
          <w:tcPr>
            <w:cnfStyle w:val="001000000000" w:firstRow="0" w:lastRow="0" w:firstColumn="1" w:lastColumn="0" w:oddVBand="0" w:evenVBand="0" w:oddHBand="0" w:evenHBand="0" w:firstRowFirstColumn="0" w:firstRowLastColumn="0" w:lastRowFirstColumn="0" w:lastRowLastColumn="0"/>
            <w:tcW w:w="1894" w:type="dxa"/>
          </w:tcPr>
          <w:p w14:paraId="036CA014" w14:textId="77777777" w:rsidR="002E7CBB" w:rsidRPr="00FA3A23" w:rsidRDefault="002E7CBB" w:rsidP="00FA3A23">
            <w:pPr>
              <w:rPr>
                <w:rFonts w:cstheme="minorHAnsi"/>
                <w:sz w:val="20"/>
                <w:szCs w:val="20"/>
              </w:rPr>
            </w:pPr>
          </w:p>
        </w:tc>
        <w:tc>
          <w:tcPr>
            <w:tcW w:w="1187" w:type="dxa"/>
          </w:tcPr>
          <w:p w14:paraId="5F182476" w14:textId="2F58F99C"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0" w:type="auto"/>
          </w:tcPr>
          <w:p w14:paraId="42CC823D" w14:textId="3CEC72CC"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u w:val="single"/>
                <w:shd w:val="clear" w:color="auto" w:fill="FFFFFF"/>
                <w:lang w:eastAsia="en-GB"/>
              </w:rPr>
            </w:pPr>
            <w:r w:rsidRPr="00FA3A23">
              <w:rPr>
                <w:rFonts w:cstheme="minorHAnsi"/>
                <w:b/>
                <w:bCs/>
                <w:color w:val="000000"/>
                <w:sz w:val="20"/>
                <w:szCs w:val="20"/>
                <w:u w:val="single"/>
                <w:shd w:val="clear" w:color="auto" w:fill="FFFFFF"/>
                <w:lang w:eastAsia="en-GB"/>
              </w:rPr>
              <w:t>2. rīcības virziens: Valsts institūciju darba sabiedrības interesēs atklātība un caurskatāmība</w:t>
            </w:r>
            <w:r w:rsidR="00FA3A23" w:rsidRPr="00FA3A23">
              <w:rPr>
                <w:rFonts w:cstheme="minorHAnsi"/>
                <w:b/>
                <w:bCs/>
                <w:color w:val="000000"/>
                <w:sz w:val="20"/>
                <w:szCs w:val="20"/>
                <w:u w:val="single"/>
                <w:shd w:val="clear" w:color="auto" w:fill="FFFFFF"/>
                <w:lang w:eastAsia="en-GB"/>
              </w:rPr>
              <w:t>:</w:t>
            </w:r>
          </w:p>
          <w:p w14:paraId="3C3BB1C3" w14:textId="55FCE216"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color w:val="000000"/>
                <w:sz w:val="20"/>
                <w:szCs w:val="20"/>
                <w:shd w:val="clear" w:color="auto" w:fill="FFFFFF"/>
                <w:lang w:eastAsia="en-GB"/>
              </w:rPr>
              <w:t>4.apņemšanās ieviešanā līdzās LVportālam iesakām iesaistīt arī citus plašsaziņas interneta medijus, piemēram, Delfi.lv, jo tos patērē plašāka sabiedrība, ne tikai nozaru eksperti.</w:t>
            </w:r>
          </w:p>
        </w:tc>
        <w:tc>
          <w:tcPr>
            <w:tcW w:w="0" w:type="auto"/>
          </w:tcPr>
          <w:p w14:paraId="0BF1CD3E" w14:textId="50D6F64C"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 xml:space="preserve">Pie 4. apņemšanās </w:t>
            </w:r>
            <w:r w:rsidR="00B34464">
              <w:rPr>
                <w:rFonts w:cstheme="minorHAnsi"/>
                <w:sz w:val="20"/>
                <w:szCs w:val="20"/>
              </w:rPr>
              <w:t xml:space="preserve">atbilstoši </w:t>
            </w:r>
            <w:r w:rsidRPr="00FA3A23">
              <w:rPr>
                <w:rFonts w:cstheme="minorHAnsi"/>
                <w:sz w:val="20"/>
                <w:szCs w:val="20"/>
              </w:rPr>
              <w:t xml:space="preserve">papildināts </w:t>
            </w:r>
          </w:p>
          <w:p w14:paraId="591F5915" w14:textId="2DC5653C"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34464" w:rsidRPr="00FA3A23" w14:paraId="6C5C12EC" w14:textId="77777777" w:rsidTr="00B34464">
        <w:tc>
          <w:tcPr>
            <w:cnfStyle w:val="001000000000" w:firstRow="0" w:lastRow="0" w:firstColumn="1" w:lastColumn="0" w:oddVBand="0" w:evenVBand="0" w:oddHBand="0" w:evenHBand="0" w:firstRowFirstColumn="0" w:firstRowLastColumn="0" w:lastRowFirstColumn="0" w:lastRowLastColumn="0"/>
            <w:tcW w:w="1894" w:type="dxa"/>
          </w:tcPr>
          <w:p w14:paraId="08D1DC42" w14:textId="77777777" w:rsidR="002E7CBB" w:rsidRPr="00FA3A23" w:rsidRDefault="002E7CBB" w:rsidP="00FA3A23">
            <w:pPr>
              <w:rPr>
                <w:rFonts w:cstheme="minorHAnsi"/>
                <w:sz w:val="20"/>
                <w:szCs w:val="20"/>
              </w:rPr>
            </w:pPr>
          </w:p>
        </w:tc>
        <w:tc>
          <w:tcPr>
            <w:tcW w:w="1187" w:type="dxa"/>
          </w:tcPr>
          <w:p w14:paraId="3CC85166" w14:textId="7945E0E6"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0" w:type="auto"/>
          </w:tcPr>
          <w:p w14:paraId="6BE79284" w14:textId="617A47FF"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color w:val="000000"/>
                <w:sz w:val="20"/>
                <w:szCs w:val="20"/>
                <w:lang w:eastAsia="en-GB"/>
              </w:rPr>
              <w:t>6.apņemšanās fokusējās uz atvērtības standartu iedzīvināšanu pašvaldībās un līdzdalības lomas stiprināšanu, iedzīvotāju iesaisti lēmumu pieņemšanā galvenokārt caur formāliem principiem un iesaistot tajā LPA un LLPS. Ierosinām vienlīdzīgi iesaistīti arī "jumta" reģionālos NVO, apkaimju biedrības utt. </w:t>
            </w:r>
          </w:p>
        </w:tc>
        <w:tc>
          <w:tcPr>
            <w:tcW w:w="0" w:type="auto"/>
          </w:tcPr>
          <w:p w14:paraId="403753C0" w14:textId="527D320A"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sidRPr="00FA3A23">
              <w:rPr>
                <w:rFonts w:cstheme="minorHAnsi"/>
                <w:sz w:val="20"/>
                <w:szCs w:val="20"/>
              </w:rPr>
              <w:t xml:space="preserve">Pie 6. apņemšanās </w:t>
            </w:r>
            <w:r w:rsidR="00B34464">
              <w:rPr>
                <w:rFonts w:cstheme="minorHAnsi"/>
                <w:sz w:val="20"/>
                <w:szCs w:val="20"/>
              </w:rPr>
              <w:t xml:space="preserve">atbilstoši </w:t>
            </w:r>
            <w:r w:rsidRPr="00FA3A23">
              <w:rPr>
                <w:rFonts w:cstheme="minorHAnsi"/>
                <w:sz w:val="20"/>
                <w:szCs w:val="20"/>
              </w:rPr>
              <w:t>papildināts</w:t>
            </w:r>
            <w:r w:rsidR="00B34464">
              <w:rPr>
                <w:rFonts w:cstheme="minorHAnsi"/>
                <w:sz w:val="20"/>
                <w:szCs w:val="20"/>
              </w:rPr>
              <w:t xml:space="preserve"> </w:t>
            </w:r>
          </w:p>
          <w:p w14:paraId="2DECB157" w14:textId="2594D055"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34464" w:rsidRPr="00FA3A23" w14:paraId="2553310E" w14:textId="77777777" w:rsidTr="00B34464">
        <w:tc>
          <w:tcPr>
            <w:cnfStyle w:val="001000000000" w:firstRow="0" w:lastRow="0" w:firstColumn="1" w:lastColumn="0" w:oddVBand="0" w:evenVBand="0" w:oddHBand="0" w:evenHBand="0" w:firstRowFirstColumn="0" w:firstRowLastColumn="0" w:lastRowFirstColumn="0" w:lastRowLastColumn="0"/>
            <w:tcW w:w="1894" w:type="dxa"/>
          </w:tcPr>
          <w:p w14:paraId="4B22DF81" w14:textId="77777777" w:rsidR="002E7CBB" w:rsidRPr="00FA3A23" w:rsidRDefault="002E7CBB" w:rsidP="00FA3A23">
            <w:pPr>
              <w:rPr>
                <w:rFonts w:cstheme="minorHAnsi"/>
                <w:sz w:val="20"/>
                <w:szCs w:val="20"/>
              </w:rPr>
            </w:pPr>
          </w:p>
        </w:tc>
        <w:tc>
          <w:tcPr>
            <w:tcW w:w="1187" w:type="dxa"/>
          </w:tcPr>
          <w:p w14:paraId="72CA4262" w14:textId="75FB7776"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0" w:type="auto"/>
          </w:tcPr>
          <w:p w14:paraId="54618D68" w14:textId="2B28F1F5"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color w:val="000000"/>
                <w:sz w:val="20"/>
                <w:szCs w:val="20"/>
                <w:lang w:eastAsia="en-GB"/>
              </w:rPr>
              <w:t>Runājot par sabiedrības uzticību (tās veicināšanu), papildu jau esošajam būtu jāiekļauj arī ES / Latvijas Atveseļošanas fonda plāna ieviešana un sekošana līdzi ieviešanas procesam, līdzekļu izlietojumam, vairojot sabiedrības izpratni par to nozīmi un rezultātiem.</w:t>
            </w:r>
          </w:p>
        </w:tc>
        <w:tc>
          <w:tcPr>
            <w:tcW w:w="0" w:type="auto"/>
          </w:tcPr>
          <w:p w14:paraId="3D7AA686" w14:textId="62337799"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lang w:eastAsia="en-GB"/>
              </w:rPr>
              <w:t>ES / Latvijas Atveseļošanas fonda plāna ieviešana jau ir iekļauta</w:t>
            </w:r>
            <w:r w:rsidR="00B34464">
              <w:rPr>
                <w:rFonts w:cstheme="minorHAnsi"/>
                <w:sz w:val="20"/>
                <w:szCs w:val="20"/>
                <w:lang w:eastAsia="en-GB"/>
              </w:rPr>
              <w:t>. Skatīt 11. lapu un</w:t>
            </w:r>
            <w:r w:rsidRPr="00FA3A23">
              <w:rPr>
                <w:rFonts w:cstheme="minorHAnsi"/>
                <w:sz w:val="20"/>
                <w:szCs w:val="20"/>
                <w:lang w:eastAsia="en-GB"/>
              </w:rPr>
              <w:t xml:space="preserve"> 3. apņemšanās </w:t>
            </w:r>
            <w:r w:rsidR="00B34464">
              <w:rPr>
                <w:rFonts w:cstheme="minorHAnsi"/>
                <w:sz w:val="20"/>
                <w:szCs w:val="20"/>
                <w:lang w:eastAsia="en-GB"/>
              </w:rPr>
              <w:t>3.</w:t>
            </w:r>
            <w:r w:rsidRPr="00FA3A23">
              <w:rPr>
                <w:rFonts w:cstheme="minorHAnsi"/>
                <w:sz w:val="20"/>
                <w:szCs w:val="20"/>
                <w:lang w:eastAsia="en-GB"/>
              </w:rPr>
              <w:t xml:space="preserve"> pasākum</w:t>
            </w:r>
            <w:r w:rsidR="00B34464">
              <w:rPr>
                <w:rFonts w:cstheme="minorHAnsi"/>
                <w:sz w:val="20"/>
                <w:szCs w:val="20"/>
                <w:lang w:eastAsia="en-GB"/>
              </w:rPr>
              <w:t>u</w:t>
            </w:r>
          </w:p>
        </w:tc>
      </w:tr>
      <w:tr w:rsidR="00B34464" w:rsidRPr="00FA3A23" w14:paraId="4FE4E606" w14:textId="77777777" w:rsidTr="00B34464">
        <w:tc>
          <w:tcPr>
            <w:cnfStyle w:val="001000000000" w:firstRow="0" w:lastRow="0" w:firstColumn="1" w:lastColumn="0" w:oddVBand="0" w:evenVBand="0" w:oddHBand="0" w:evenHBand="0" w:firstRowFirstColumn="0" w:firstRowLastColumn="0" w:lastRowFirstColumn="0" w:lastRowLastColumn="0"/>
            <w:tcW w:w="1894" w:type="dxa"/>
          </w:tcPr>
          <w:p w14:paraId="5BB90C2A" w14:textId="77777777" w:rsidR="002E7CBB" w:rsidRPr="00FA3A23" w:rsidRDefault="002E7CBB" w:rsidP="00FA3A23">
            <w:pPr>
              <w:rPr>
                <w:rFonts w:cstheme="minorHAnsi"/>
                <w:sz w:val="20"/>
                <w:szCs w:val="20"/>
              </w:rPr>
            </w:pPr>
          </w:p>
        </w:tc>
        <w:tc>
          <w:tcPr>
            <w:tcW w:w="1187" w:type="dxa"/>
          </w:tcPr>
          <w:p w14:paraId="6BA182E5" w14:textId="13E53899"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0" w:type="auto"/>
          </w:tcPr>
          <w:p w14:paraId="5B58A955" w14:textId="77777777"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eastAsia="en-GB"/>
              </w:rPr>
            </w:pPr>
            <w:r w:rsidRPr="00FA3A23">
              <w:rPr>
                <w:rFonts w:cstheme="minorHAnsi"/>
                <w:color w:val="000000"/>
                <w:sz w:val="20"/>
                <w:szCs w:val="20"/>
                <w:lang w:eastAsia="en-GB"/>
              </w:rPr>
              <w:t xml:space="preserve">Lai arī šajā plānā nav iekļauti (1.-3.rīcības virzienā), Delnas ieskatā būtu jaturpina integritates pakti, jāveic integritātes paktu popularizēšanas aktivitātes un izglītojošais darbs sabiedrībā (gan NVO, gan publisko iepirkumu veicēju pusē, tajā skaitā pašvaldībās). Par piemēru var ņemt Delnas un Transparency International 2021. gadā izdoto ceļvedi, kurā skaidrots, kas ir integriātes pakti, kā tos pielietot un kāds ieguvums no tiem ir sabiedrībai. Lai gan Latvijai šobrīd nav finanšu līdzekļu, ko atvēlēt integritātes paktu īstenošanai, sabiedrības un publisko iepirkumu veicēju informētība par šo kontroles instrumentu ir zema, un to ir nepieciešams palielināt. Integritātes pakti ir </w:t>
            </w:r>
            <w:r w:rsidRPr="00FA3A23">
              <w:rPr>
                <w:rFonts w:cstheme="minorHAnsi"/>
                <w:color w:val="000000"/>
                <w:sz w:val="20"/>
                <w:szCs w:val="20"/>
                <w:lang w:eastAsia="en-GB"/>
              </w:rPr>
              <w:lastRenderedPageBreak/>
              <w:t>viens no veidiem, kā veicināt sabiedrības uzticību un iespēju līdzdarboties lēmumu pieņemšanas procesos un starptautiski šī līdzdalības forma ir novērtēta. </w:t>
            </w:r>
          </w:p>
          <w:p w14:paraId="2E278B52" w14:textId="77777777"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0" w:type="auto"/>
          </w:tcPr>
          <w:p w14:paraId="0C300762" w14:textId="77777777" w:rsidR="00B34464"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lastRenderedPageBreak/>
              <w:t xml:space="preserve">Iekļauts sadaļā </w:t>
            </w:r>
          </w:p>
          <w:p w14:paraId="53678913" w14:textId="77777777" w:rsidR="00B34464" w:rsidRPr="00B34464" w:rsidRDefault="00B34464" w:rsidP="00B34464">
            <w:pPr>
              <w:cnfStyle w:val="000000000000" w:firstRow="0" w:lastRow="0" w:firstColumn="0" w:lastColumn="0" w:oddVBand="0" w:evenVBand="0" w:oddHBand="0" w:evenHBand="0" w:firstRowFirstColumn="0" w:firstRowLastColumn="0" w:lastRowFirstColumn="0" w:lastRowLastColumn="0"/>
            </w:pPr>
            <w:bookmarkStart w:id="0" w:name="_Toc84595914"/>
            <w:r w:rsidRPr="00B34464">
              <w:t>Ceturtā nacionālā rīcības plāna 2020.-2021. gadam būtiskākie pasākumi</w:t>
            </w:r>
            <w:bookmarkEnd w:id="0"/>
            <w:r w:rsidRPr="00B34464">
              <w:t xml:space="preserve"> </w:t>
            </w:r>
          </w:p>
          <w:p w14:paraId="3E1893A5" w14:textId="5DCDA4FC"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34464" w:rsidRPr="00FA3A23" w14:paraId="45265C1D" w14:textId="77777777" w:rsidTr="00B34464">
        <w:tc>
          <w:tcPr>
            <w:cnfStyle w:val="001000000000" w:firstRow="0" w:lastRow="0" w:firstColumn="1" w:lastColumn="0" w:oddVBand="0" w:evenVBand="0" w:oddHBand="0" w:evenHBand="0" w:firstRowFirstColumn="0" w:firstRowLastColumn="0" w:lastRowFirstColumn="0" w:lastRowLastColumn="0"/>
            <w:tcW w:w="1894" w:type="dxa"/>
          </w:tcPr>
          <w:p w14:paraId="5F44A6C5" w14:textId="61D20AD0" w:rsidR="002E7CBB" w:rsidRPr="00FA3A23" w:rsidRDefault="00FA3A23" w:rsidP="00FA3A23">
            <w:pPr>
              <w:rPr>
                <w:rFonts w:cstheme="minorHAnsi"/>
                <w:sz w:val="20"/>
                <w:szCs w:val="20"/>
              </w:rPr>
            </w:pPr>
            <w:r w:rsidRPr="00FA3A23">
              <w:rPr>
                <w:rFonts w:eastAsia="Times New Roman" w:cstheme="minorHAnsi"/>
                <w:sz w:val="20"/>
                <w:szCs w:val="20"/>
              </w:rPr>
              <w:t>Korupcijas novēršanas un apkarošanas birojs</w:t>
            </w:r>
          </w:p>
        </w:tc>
        <w:tc>
          <w:tcPr>
            <w:tcW w:w="1187" w:type="dxa"/>
          </w:tcPr>
          <w:p w14:paraId="4C227AC4" w14:textId="221F1855" w:rsidR="002E7CBB" w:rsidRPr="00FA3A23" w:rsidRDefault="002E7CBB"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22.09.</w:t>
            </w:r>
            <w:r w:rsidR="00FA3A23" w:rsidRPr="00FA3A23">
              <w:rPr>
                <w:rFonts w:cstheme="minorHAnsi"/>
                <w:sz w:val="20"/>
                <w:szCs w:val="20"/>
              </w:rPr>
              <w:t>2021.</w:t>
            </w:r>
          </w:p>
        </w:tc>
        <w:tc>
          <w:tcPr>
            <w:tcW w:w="0" w:type="auto"/>
          </w:tcPr>
          <w:p w14:paraId="5B7D3DD8" w14:textId="77777777" w:rsidR="00B34464" w:rsidRDefault="00FA3A23" w:rsidP="00FA3A2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A3A23">
              <w:rPr>
                <w:rFonts w:eastAsia="Times New Roman" w:cstheme="minorHAnsi"/>
                <w:sz w:val="20"/>
                <w:szCs w:val="20"/>
              </w:rPr>
              <w:t>        Korupcijas novēršanas un apkarošanas birojs (turpmāk - Birojs) savas kompetences ietvaros ir izvērtējis Valsts kancelejas sagatavoto Latvijas Piektā nacionālā atvērtās pārvaldības rīcības plāna 2022.-2025. gadam projektu (turpmāk – rīcības plāna projekts), un informē, ka atbalsta rīcības plāna projekta tālāku virzību,</w:t>
            </w:r>
            <w:r w:rsidRPr="00FA3A23">
              <w:rPr>
                <w:rFonts w:eastAsia="Times New Roman" w:cstheme="minorHAnsi"/>
                <w:b/>
                <w:bCs/>
                <w:sz w:val="20"/>
                <w:szCs w:val="20"/>
              </w:rPr>
              <w:t xml:space="preserve"> </w:t>
            </w:r>
            <w:r w:rsidRPr="00FA3A23">
              <w:rPr>
                <w:rFonts w:eastAsia="Times New Roman" w:cstheme="minorHAnsi"/>
                <w:sz w:val="20"/>
                <w:szCs w:val="20"/>
              </w:rPr>
              <w:t xml:space="preserve">izsakot iebildumu. </w:t>
            </w:r>
            <w:r w:rsidRPr="00FA3A23">
              <w:rPr>
                <w:rFonts w:eastAsia="Times New Roman" w:cstheme="minorHAnsi"/>
                <w:sz w:val="20"/>
                <w:szCs w:val="20"/>
              </w:rPr>
              <w:br/>
              <w:t>        Rīcības plāna projekta 5.apņemšanās (Veicināt valsts informācijas un datu saprotamību un izmantošanu, palielinot pilsoņu iespējas un veidojot datos balstītus risinājumus sabiedrības problēmām) ietvaros ir noteikts pasākums izvērtēt nepieciešamību veidot publiski pieejamas datu kopas par politisko partiju darbību raksturojošiem datiem.</w:t>
            </w:r>
          </w:p>
          <w:p w14:paraId="61CC9B13" w14:textId="00357856" w:rsidR="002E7CBB" w:rsidRPr="00FA3A23" w:rsidRDefault="00FA3A23"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eastAsia="Times New Roman" w:cstheme="minorHAnsi"/>
                <w:sz w:val="20"/>
                <w:szCs w:val="20"/>
              </w:rPr>
              <w:t xml:space="preserve">Vēršam uzmanību, ka jau Latvijas Ceturtā nacionālā atvērtās pārvaldības rīcības plāna 2020.-2021. gadam 2.apņemšanās paredz informācijas atklātībai nozīmīgu datu kopu atvēršanu par politisko partiju finansēm un ziedojumiem partijām, ar izpildes termiņu 31.12.2021. Līdz ar to abu rīcības plānu pasākumi pārklājās, un, ņemot vērā, ka Latvijas Ceturtā nacionālā atvērtās pārvaldības rīcības plāna 2020.-2021. gadam 2.apņemšanās pasākuma ietvaros jau norit darbs pie datu kopu atvēršanas par politisko partiju finansēm un ziedojumiem partijām, Birojs lūdz svītrot rīcības plāna projektā 5.apņemšanās pasākumu "izvērtēt nepieciešamību veidot publiski pieejamas datu kopas par politisko partiju darbību raksturojošiem datiem", tāpat lūdz svītrot atbildīgo institūciju pasākuma izpildē "KNAB". </w:t>
            </w:r>
            <w:r w:rsidR="002E7CBB" w:rsidRPr="00FA3A23">
              <w:rPr>
                <w:rFonts w:eastAsia="Times New Roman" w:cstheme="minorHAnsi"/>
                <w:sz w:val="20"/>
                <w:szCs w:val="20"/>
              </w:rPr>
              <w:br/>
            </w:r>
          </w:p>
        </w:tc>
        <w:tc>
          <w:tcPr>
            <w:tcW w:w="0" w:type="auto"/>
          </w:tcPr>
          <w:p w14:paraId="60DB73D5" w14:textId="3629BEC7" w:rsidR="002E7CBB" w:rsidRDefault="002E7CBB" w:rsidP="00B34464">
            <w:pPr>
              <w:cnfStyle w:val="000000000000" w:firstRow="0" w:lastRow="0" w:firstColumn="0" w:lastColumn="0" w:oddVBand="0" w:evenVBand="0" w:oddHBand="0" w:evenHBand="0" w:firstRowFirstColumn="0" w:firstRowLastColumn="0" w:lastRowFirstColumn="0" w:lastRowLastColumn="0"/>
            </w:pPr>
            <w:r w:rsidRPr="00B34464">
              <w:t xml:space="preserve">Ņemts vērā. Pasākums un KNAB svītroti. </w:t>
            </w:r>
            <w:r w:rsidR="00B34464" w:rsidRPr="00B34464">
              <w:t xml:space="preserve"> </w:t>
            </w:r>
          </w:p>
          <w:p w14:paraId="7A88B62D" w14:textId="77777777" w:rsidR="00B34464" w:rsidRPr="00B34464" w:rsidRDefault="00B34464" w:rsidP="00B34464">
            <w:pPr>
              <w:cnfStyle w:val="000000000000" w:firstRow="0" w:lastRow="0" w:firstColumn="0" w:lastColumn="0" w:oddVBand="0" w:evenVBand="0" w:oddHBand="0" w:evenHBand="0" w:firstRowFirstColumn="0" w:firstRowLastColumn="0" w:lastRowFirstColumn="0" w:lastRowLastColumn="0"/>
            </w:pPr>
          </w:p>
          <w:p w14:paraId="01661AFF" w14:textId="4EEEB1D9" w:rsidR="00B34464" w:rsidRPr="00B34464" w:rsidRDefault="00B34464" w:rsidP="00B34464">
            <w:pPr>
              <w:cnfStyle w:val="000000000000" w:firstRow="0" w:lastRow="0" w:firstColumn="0" w:lastColumn="0" w:oddVBand="0" w:evenVBand="0" w:oddHBand="0" w:evenHBand="0" w:firstRowFirstColumn="0" w:firstRowLastColumn="0" w:lastRowFirstColumn="0" w:lastRowLastColumn="0"/>
            </w:pPr>
            <w:r w:rsidRPr="00B34464">
              <w:t xml:space="preserve">Vienlaikus, 19. lapā šie dati minēti kā piemērs datiem, kas uzskatāmi kā nozīmīgi informācijas atklātībai un atbildības nodrošināšanai </w:t>
            </w:r>
          </w:p>
        </w:tc>
      </w:tr>
      <w:tr w:rsidR="00B34464" w:rsidRPr="00FA3A23" w14:paraId="3EEF2DFD" w14:textId="77777777" w:rsidTr="00B34464">
        <w:tc>
          <w:tcPr>
            <w:cnfStyle w:val="001000000000" w:firstRow="0" w:lastRow="0" w:firstColumn="1" w:lastColumn="0" w:oddVBand="0" w:evenVBand="0" w:oddHBand="0" w:evenHBand="0" w:firstRowFirstColumn="0" w:firstRowLastColumn="0" w:lastRowFirstColumn="0" w:lastRowLastColumn="0"/>
            <w:tcW w:w="1894" w:type="dxa"/>
          </w:tcPr>
          <w:p w14:paraId="1A23340A" w14:textId="61F06870" w:rsidR="00FA3A23" w:rsidRPr="00FA3A23" w:rsidRDefault="00FA3A23" w:rsidP="00FA3A23">
            <w:pPr>
              <w:rPr>
                <w:rFonts w:cstheme="minorHAnsi"/>
                <w:sz w:val="20"/>
                <w:szCs w:val="20"/>
              </w:rPr>
            </w:pPr>
            <w:r w:rsidRPr="00FA3A23">
              <w:rPr>
                <w:rFonts w:cstheme="minorHAnsi"/>
                <w:sz w:val="20"/>
                <w:szCs w:val="20"/>
              </w:rPr>
              <w:t xml:space="preserve">Latvijas Pilsoniskā alianse </w:t>
            </w:r>
          </w:p>
        </w:tc>
        <w:tc>
          <w:tcPr>
            <w:tcW w:w="1187" w:type="dxa"/>
          </w:tcPr>
          <w:p w14:paraId="35F03663" w14:textId="0D9C2522" w:rsidR="00FA3A23" w:rsidRPr="00FA3A23" w:rsidRDefault="00FA3A23"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21.09.2021.</w:t>
            </w:r>
          </w:p>
        </w:tc>
        <w:tc>
          <w:tcPr>
            <w:tcW w:w="0" w:type="auto"/>
          </w:tcPr>
          <w:p w14:paraId="5B634ACE" w14:textId="68780216" w:rsidR="00FA3A23" w:rsidRPr="00FA3A23" w:rsidRDefault="00FA3A23"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 xml:space="preserve">Komentāri tekstā </w:t>
            </w:r>
          </w:p>
        </w:tc>
        <w:tc>
          <w:tcPr>
            <w:tcW w:w="0" w:type="auto"/>
          </w:tcPr>
          <w:p w14:paraId="0B39AEAF" w14:textId="68BBC206" w:rsidR="00FA3A23" w:rsidRPr="00FA3A23" w:rsidRDefault="00FA3A23" w:rsidP="00FA3A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 xml:space="preserve">Izvērtēti un ņemti vērā </w:t>
            </w:r>
          </w:p>
        </w:tc>
      </w:tr>
      <w:tr w:rsidR="006332B4" w:rsidRPr="00FA3A23" w14:paraId="107AE27F" w14:textId="77777777" w:rsidTr="00B34464">
        <w:tc>
          <w:tcPr>
            <w:cnfStyle w:val="001000000000" w:firstRow="0" w:lastRow="0" w:firstColumn="1" w:lastColumn="0" w:oddVBand="0" w:evenVBand="0" w:oddHBand="0" w:evenHBand="0" w:firstRowFirstColumn="0" w:firstRowLastColumn="0" w:lastRowFirstColumn="0" w:lastRowLastColumn="0"/>
            <w:tcW w:w="1894" w:type="dxa"/>
          </w:tcPr>
          <w:p w14:paraId="5D0F684A" w14:textId="1013BE7F" w:rsidR="006332B4" w:rsidRPr="00FA3A23" w:rsidRDefault="006332B4" w:rsidP="006332B4">
            <w:pPr>
              <w:rPr>
                <w:rFonts w:cstheme="minorHAnsi"/>
                <w:sz w:val="20"/>
                <w:szCs w:val="20"/>
              </w:rPr>
            </w:pPr>
            <w:r w:rsidRPr="00FA3A23">
              <w:rPr>
                <w:rFonts w:cstheme="minorHAnsi"/>
                <w:sz w:val="20"/>
                <w:szCs w:val="20"/>
              </w:rPr>
              <w:t xml:space="preserve">Kultūras ministrija </w:t>
            </w:r>
          </w:p>
        </w:tc>
        <w:tc>
          <w:tcPr>
            <w:tcW w:w="1187" w:type="dxa"/>
          </w:tcPr>
          <w:p w14:paraId="3320C5C3" w14:textId="7EA68911" w:rsidR="006332B4" w:rsidRPr="00FA3A23" w:rsidRDefault="006332B4" w:rsidP="006332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22.09.2021.</w:t>
            </w:r>
          </w:p>
        </w:tc>
        <w:tc>
          <w:tcPr>
            <w:tcW w:w="0" w:type="auto"/>
          </w:tcPr>
          <w:p w14:paraId="0B4F8C61" w14:textId="7FA70AD3" w:rsidR="006332B4" w:rsidRPr="00FA3A23" w:rsidRDefault="006332B4" w:rsidP="006332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 xml:space="preserve">Komentāri tekstā </w:t>
            </w:r>
          </w:p>
        </w:tc>
        <w:tc>
          <w:tcPr>
            <w:tcW w:w="0" w:type="auto"/>
          </w:tcPr>
          <w:p w14:paraId="05C9241B" w14:textId="12179925" w:rsidR="006332B4" w:rsidRPr="00FA3A23" w:rsidRDefault="006332B4" w:rsidP="006332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Izvērtēti un ņemti vērā</w:t>
            </w:r>
          </w:p>
        </w:tc>
      </w:tr>
      <w:tr w:rsidR="006332B4" w:rsidRPr="00FA3A23" w14:paraId="050AB6A0" w14:textId="77777777" w:rsidTr="00B34464">
        <w:tc>
          <w:tcPr>
            <w:cnfStyle w:val="001000000000" w:firstRow="0" w:lastRow="0" w:firstColumn="1" w:lastColumn="0" w:oddVBand="0" w:evenVBand="0" w:oddHBand="0" w:evenHBand="0" w:firstRowFirstColumn="0" w:firstRowLastColumn="0" w:lastRowFirstColumn="0" w:lastRowLastColumn="0"/>
            <w:tcW w:w="1894" w:type="dxa"/>
          </w:tcPr>
          <w:p w14:paraId="0006C877" w14:textId="654813F9" w:rsidR="006332B4" w:rsidRPr="00FA3A23" w:rsidRDefault="006332B4" w:rsidP="006332B4">
            <w:pPr>
              <w:rPr>
                <w:rFonts w:cstheme="minorHAnsi"/>
                <w:sz w:val="20"/>
                <w:szCs w:val="20"/>
              </w:rPr>
            </w:pPr>
            <w:r>
              <w:rPr>
                <w:rFonts w:cstheme="minorHAnsi"/>
                <w:sz w:val="20"/>
                <w:szCs w:val="20"/>
              </w:rPr>
              <w:t xml:space="preserve">Vides aizsardzības un reģionālās attīstības ministrija </w:t>
            </w:r>
          </w:p>
        </w:tc>
        <w:tc>
          <w:tcPr>
            <w:tcW w:w="1187" w:type="dxa"/>
          </w:tcPr>
          <w:p w14:paraId="1F451BA7" w14:textId="2CE607FD" w:rsidR="006332B4" w:rsidRPr="00FA3A23" w:rsidRDefault="006332B4" w:rsidP="006332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28.09.2021.</w:t>
            </w:r>
          </w:p>
        </w:tc>
        <w:tc>
          <w:tcPr>
            <w:tcW w:w="0" w:type="auto"/>
          </w:tcPr>
          <w:p w14:paraId="3942A5C5" w14:textId="27B6F688" w:rsidR="006332B4" w:rsidRPr="00FA3A23" w:rsidRDefault="006332B4" w:rsidP="006332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Precizējumi tekstā (atvērto datu jomā) </w:t>
            </w:r>
          </w:p>
        </w:tc>
        <w:tc>
          <w:tcPr>
            <w:tcW w:w="0" w:type="auto"/>
          </w:tcPr>
          <w:p w14:paraId="4CDE3E59" w14:textId="0967A2F5" w:rsidR="006332B4" w:rsidRPr="00FA3A23" w:rsidRDefault="006332B4" w:rsidP="006332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A23">
              <w:rPr>
                <w:rFonts w:cstheme="minorHAnsi"/>
                <w:sz w:val="20"/>
                <w:szCs w:val="20"/>
              </w:rPr>
              <w:t>Izvērtēti un ņemti vērā</w:t>
            </w:r>
          </w:p>
        </w:tc>
      </w:tr>
    </w:tbl>
    <w:p w14:paraId="21810F71" w14:textId="77777777" w:rsidR="00362519" w:rsidRPr="00FA3A23" w:rsidRDefault="00362519" w:rsidP="00FA3A23">
      <w:pPr>
        <w:rPr>
          <w:rFonts w:cstheme="minorHAnsi"/>
          <w:sz w:val="20"/>
          <w:szCs w:val="20"/>
        </w:rPr>
      </w:pPr>
    </w:p>
    <w:sectPr w:rsidR="00362519" w:rsidRPr="00FA3A23" w:rsidSect="00E404A3">
      <w:foot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F549" w14:textId="77777777" w:rsidR="00FA3A23" w:rsidRDefault="00FA3A23" w:rsidP="00FA3A23">
      <w:pPr>
        <w:spacing w:after="0" w:line="240" w:lineRule="auto"/>
      </w:pPr>
      <w:r>
        <w:separator/>
      </w:r>
    </w:p>
  </w:endnote>
  <w:endnote w:type="continuationSeparator" w:id="0">
    <w:p w14:paraId="203A259D" w14:textId="77777777" w:rsidR="00FA3A23" w:rsidRDefault="00FA3A23" w:rsidP="00FA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70806117"/>
      <w:docPartObj>
        <w:docPartGallery w:val="Page Numbers (Bottom of Page)"/>
        <w:docPartUnique/>
      </w:docPartObj>
    </w:sdtPr>
    <w:sdtEndPr>
      <w:rPr>
        <w:noProof/>
      </w:rPr>
    </w:sdtEndPr>
    <w:sdtContent>
      <w:p w14:paraId="5EA597AE" w14:textId="7A71DA49" w:rsidR="00FA3A23" w:rsidRPr="00B34464" w:rsidRDefault="00FA3A23">
        <w:pPr>
          <w:pStyle w:val="Footer"/>
          <w:jc w:val="center"/>
          <w:rPr>
            <w:sz w:val="18"/>
            <w:szCs w:val="18"/>
          </w:rPr>
        </w:pPr>
        <w:r w:rsidRPr="00B34464">
          <w:rPr>
            <w:sz w:val="18"/>
            <w:szCs w:val="18"/>
          </w:rPr>
          <w:fldChar w:fldCharType="begin"/>
        </w:r>
        <w:r w:rsidRPr="00B34464">
          <w:rPr>
            <w:sz w:val="18"/>
            <w:szCs w:val="18"/>
          </w:rPr>
          <w:instrText xml:space="preserve"> PAGE   \* MERGEFORMAT </w:instrText>
        </w:r>
        <w:r w:rsidRPr="00B34464">
          <w:rPr>
            <w:sz w:val="18"/>
            <w:szCs w:val="18"/>
          </w:rPr>
          <w:fldChar w:fldCharType="separate"/>
        </w:r>
        <w:r w:rsidRPr="00B34464">
          <w:rPr>
            <w:noProof/>
            <w:sz w:val="18"/>
            <w:szCs w:val="18"/>
          </w:rPr>
          <w:t>2</w:t>
        </w:r>
        <w:r w:rsidRPr="00B34464">
          <w:rPr>
            <w:noProof/>
            <w:sz w:val="18"/>
            <w:szCs w:val="18"/>
          </w:rPr>
          <w:fldChar w:fldCharType="end"/>
        </w:r>
      </w:p>
    </w:sdtContent>
  </w:sdt>
  <w:p w14:paraId="73F936E6" w14:textId="77777777" w:rsidR="00FA3A23" w:rsidRPr="00B34464" w:rsidRDefault="00FA3A2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631A" w14:textId="77777777" w:rsidR="00FA3A23" w:rsidRDefault="00FA3A23" w:rsidP="00FA3A23">
      <w:pPr>
        <w:spacing w:after="0" w:line="240" w:lineRule="auto"/>
      </w:pPr>
      <w:r>
        <w:separator/>
      </w:r>
    </w:p>
  </w:footnote>
  <w:footnote w:type="continuationSeparator" w:id="0">
    <w:p w14:paraId="610D8B0B" w14:textId="77777777" w:rsidR="00FA3A23" w:rsidRDefault="00FA3A23" w:rsidP="00FA3A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69"/>
    <w:rsid w:val="001B0ED0"/>
    <w:rsid w:val="00260C69"/>
    <w:rsid w:val="002E7CBB"/>
    <w:rsid w:val="00362519"/>
    <w:rsid w:val="004A0700"/>
    <w:rsid w:val="005C09FF"/>
    <w:rsid w:val="006332B4"/>
    <w:rsid w:val="00761C06"/>
    <w:rsid w:val="00774D8B"/>
    <w:rsid w:val="00B34464"/>
    <w:rsid w:val="00DD1BBE"/>
    <w:rsid w:val="00E404A3"/>
    <w:rsid w:val="00FA3A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2159"/>
  <w15:chartTrackingRefBased/>
  <w15:docId w15:val="{6AA75D57-043A-4F4B-9366-54BA8EF0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BBE"/>
    <w:pPr>
      <w:keepNext/>
      <w:keepLines/>
      <w:spacing w:before="480" w:after="0" w:line="240" w:lineRule="auto"/>
      <w:jc w:val="center"/>
      <w:outlineLvl w:val="0"/>
    </w:pPr>
    <w:rPr>
      <w:rFonts w:ascii="Calibri" w:eastAsia="Calibri" w:hAnsi="Calibri" w:cs="Calibri"/>
      <w:b/>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36251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DD1BBE"/>
    <w:rPr>
      <w:rFonts w:ascii="Calibri" w:eastAsia="Calibri" w:hAnsi="Calibri" w:cs="Calibri"/>
      <w:b/>
      <w:sz w:val="28"/>
      <w:szCs w:val="28"/>
      <w:lang w:eastAsia="lv-LV"/>
    </w:rPr>
  </w:style>
  <w:style w:type="paragraph" w:styleId="Header">
    <w:name w:val="header"/>
    <w:basedOn w:val="Normal"/>
    <w:link w:val="HeaderChar"/>
    <w:uiPriority w:val="99"/>
    <w:unhideWhenUsed/>
    <w:rsid w:val="00FA3A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3A23"/>
  </w:style>
  <w:style w:type="paragraph" w:styleId="Footer">
    <w:name w:val="footer"/>
    <w:basedOn w:val="Normal"/>
    <w:link w:val="FooterChar"/>
    <w:uiPriority w:val="99"/>
    <w:unhideWhenUsed/>
    <w:rsid w:val="00FA3A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3A23"/>
  </w:style>
  <w:style w:type="table" w:styleId="GridTable1Light-Accent2">
    <w:name w:val="Grid Table 1 Light Accent 2"/>
    <w:basedOn w:val="TableNormal"/>
    <w:uiPriority w:val="46"/>
    <w:rsid w:val="00FA3A2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940">
      <w:bodyDiv w:val="1"/>
      <w:marLeft w:val="0"/>
      <w:marRight w:val="0"/>
      <w:marTop w:val="0"/>
      <w:marBottom w:val="0"/>
      <w:divBdr>
        <w:top w:val="none" w:sz="0" w:space="0" w:color="auto"/>
        <w:left w:val="none" w:sz="0" w:space="0" w:color="auto"/>
        <w:bottom w:val="none" w:sz="0" w:space="0" w:color="auto"/>
        <w:right w:val="none" w:sz="0" w:space="0" w:color="auto"/>
      </w:divBdr>
    </w:div>
    <w:div w:id="394360271">
      <w:bodyDiv w:val="1"/>
      <w:marLeft w:val="0"/>
      <w:marRight w:val="0"/>
      <w:marTop w:val="0"/>
      <w:marBottom w:val="0"/>
      <w:divBdr>
        <w:top w:val="none" w:sz="0" w:space="0" w:color="auto"/>
        <w:left w:val="none" w:sz="0" w:space="0" w:color="auto"/>
        <w:bottom w:val="none" w:sz="0" w:space="0" w:color="auto"/>
        <w:right w:val="none" w:sz="0" w:space="0" w:color="auto"/>
      </w:divBdr>
    </w:div>
    <w:div w:id="746267702">
      <w:bodyDiv w:val="1"/>
      <w:marLeft w:val="0"/>
      <w:marRight w:val="0"/>
      <w:marTop w:val="0"/>
      <w:marBottom w:val="0"/>
      <w:divBdr>
        <w:top w:val="none" w:sz="0" w:space="0" w:color="auto"/>
        <w:left w:val="none" w:sz="0" w:space="0" w:color="auto"/>
        <w:bottom w:val="none" w:sz="0" w:space="0" w:color="auto"/>
        <w:right w:val="none" w:sz="0" w:space="0" w:color="auto"/>
      </w:divBdr>
    </w:div>
    <w:div w:id="1524131646">
      <w:bodyDiv w:val="1"/>
      <w:marLeft w:val="0"/>
      <w:marRight w:val="0"/>
      <w:marTop w:val="0"/>
      <w:marBottom w:val="0"/>
      <w:divBdr>
        <w:top w:val="none" w:sz="0" w:space="0" w:color="auto"/>
        <w:left w:val="none" w:sz="0" w:space="0" w:color="auto"/>
        <w:bottom w:val="none" w:sz="0" w:space="0" w:color="auto"/>
        <w:right w:val="none" w:sz="0" w:space="0" w:color="auto"/>
      </w:divBdr>
    </w:div>
    <w:div w:id="19623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3184</Words>
  <Characters>1815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Kušķe</dc:creator>
  <cp:keywords/>
  <dc:description/>
  <cp:lastModifiedBy>Inese Kušķe</cp:lastModifiedBy>
  <cp:revision>9</cp:revision>
  <dcterms:created xsi:type="dcterms:W3CDTF">2021-09-29T13:22:00Z</dcterms:created>
  <dcterms:modified xsi:type="dcterms:W3CDTF">2021-10-08T14:08:00Z</dcterms:modified>
</cp:coreProperties>
</file>