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457" w:rsidRDefault="00F12457" w:rsidP="006A6738">
      <w:pPr>
        <w:spacing w:after="0" w:line="240" w:lineRule="auto"/>
      </w:pPr>
      <w:bookmarkStart w:id="0" w:name="_GoBack"/>
      <w:bookmarkEnd w:id="0"/>
    </w:p>
    <w:p w:rsidR="001869C5" w:rsidRDefault="003C64F8" w:rsidP="006A6738">
      <w:pPr>
        <w:spacing w:after="0" w:line="240" w:lineRule="auto"/>
        <w:jc w:val="right"/>
        <w:rPr>
          <w:b/>
        </w:rPr>
      </w:pPr>
      <w:r>
        <w:rPr>
          <w:b/>
          <w:noProof/>
        </w:rPr>
        <w:t>Vides aizsardzības un reģionālās attīstības ministrija</w:t>
      </w:r>
      <w:r w:rsidR="004579AB">
        <w:rPr>
          <w:b/>
          <w:noProof/>
        </w:rPr>
        <w:t>i</w:t>
      </w:r>
    </w:p>
    <w:p w:rsidR="009C7916" w:rsidRDefault="009C7916" w:rsidP="006A6738">
      <w:pPr>
        <w:spacing w:after="0" w:line="240" w:lineRule="auto"/>
        <w:jc w:val="right"/>
        <w:rPr>
          <w:b/>
        </w:rPr>
      </w:pPr>
    </w:p>
    <w:p w:rsidR="004579AB" w:rsidRDefault="003C64F8" w:rsidP="006A6738">
      <w:pPr>
        <w:spacing w:after="0" w:line="240" w:lineRule="auto"/>
        <w:jc w:val="both"/>
        <w:rPr>
          <w:i/>
          <w:noProof/>
        </w:rPr>
      </w:pPr>
      <w:r>
        <w:rPr>
          <w:i/>
          <w:noProof/>
        </w:rPr>
        <w:t>Par i</w:t>
      </w:r>
      <w:r w:rsidR="006C699C" w:rsidRPr="00DF697B">
        <w:rPr>
          <w:i/>
          <w:noProof/>
        </w:rPr>
        <w:t>nformatīv</w:t>
      </w:r>
      <w:r>
        <w:rPr>
          <w:i/>
          <w:noProof/>
        </w:rPr>
        <w:t>o</w:t>
      </w:r>
      <w:r w:rsidR="006C699C" w:rsidRPr="00DF697B">
        <w:rPr>
          <w:i/>
          <w:noProof/>
        </w:rPr>
        <w:t xml:space="preserve"> ziņojum</w:t>
      </w:r>
      <w:r>
        <w:rPr>
          <w:i/>
          <w:noProof/>
        </w:rPr>
        <w:t>u</w:t>
      </w:r>
      <w:r w:rsidR="001C3E8B">
        <w:rPr>
          <w:i/>
          <w:noProof/>
        </w:rPr>
        <w:t xml:space="preserve"> </w:t>
      </w:r>
    </w:p>
    <w:p w:rsidR="004579AB" w:rsidRDefault="003C64F8" w:rsidP="006A6738">
      <w:pPr>
        <w:spacing w:after="0" w:line="240" w:lineRule="auto"/>
        <w:jc w:val="both"/>
        <w:rPr>
          <w:i/>
          <w:noProof/>
        </w:rPr>
      </w:pPr>
      <w:r>
        <w:rPr>
          <w:i/>
          <w:noProof/>
        </w:rPr>
        <w:t xml:space="preserve">"Par valsts informācijas un komunikācijas tehnoloģiju </w:t>
      </w:r>
    </w:p>
    <w:p w:rsidR="001869C5" w:rsidRPr="00DF697B" w:rsidRDefault="003C64F8" w:rsidP="006A6738">
      <w:pPr>
        <w:spacing w:after="0" w:line="240" w:lineRule="auto"/>
        <w:jc w:val="both"/>
        <w:rPr>
          <w:i/>
        </w:rPr>
      </w:pPr>
      <w:r>
        <w:rPr>
          <w:i/>
          <w:noProof/>
        </w:rPr>
        <w:t xml:space="preserve">resursu un kompetenču konsolidāciju" </w:t>
      </w:r>
      <w:r w:rsidR="004579AB">
        <w:rPr>
          <w:i/>
          <w:noProof/>
        </w:rPr>
        <w:t>(</w:t>
      </w:r>
      <w:r>
        <w:rPr>
          <w:i/>
          <w:noProof/>
        </w:rPr>
        <w:t>VSS-356</w:t>
      </w:r>
      <w:r w:rsidR="004579AB">
        <w:rPr>
          <w:i/>
          <w:noProof/>
        </w:rPr>
        <w:t>)</w:t>
      </w:r>
    </w:p>
    <w:p w:rsidR="009C7916" w:rsidRDefault="009C7916" w:rsidP="006A6738">
      <w:pPr>
        <w:spacing w:after="0" w:line="240" w:lineRule="auto"/>
        <w:jc w:val="both"/>
      </w:pPr>
    </w:p>
    <w:p w:rsidR="009C7916" w:rsidRDefault="009C7916" w:rsidP="006A6738">
      <w:pPr>
        <w:spacing w:after="0" w:line="240" w:lineRule="auto"/>
        <w:jc w:val="both"/>
      </w:pPr>
    </w:p>
    <w:p w:rsidR="004579AB" w:rsidRDefault="003C64F8" w:rsidP="006A6738">
      <w:pPr>
        <w:spacing w:after="0" w:line="240" w:lineRule="auto"/>
        <w:ind w:firstLine="720"/>
        <w:jc w:val="both"/>
      </w:pPr>
      <w:r w:rsidRPr="001D7E9D">
        <w:t xml:space="preserve">Aizsardzības ministrija savas kompetences ietvaros ir izskatījusi </w:t>
      </w:r>
      <w:r w:rsidRPr="001D7E9D">
        <w:t>Vides aizsardzības un reģionālās attīstības ministrijas (turpmāk – VARAM)</w:t>
      </w:r>
      <w:r w:rsidRPr="001D7E9D">
        <w:rPr>
          <w:rFonts w:eastAsia="Times New Roman"/>
        </w:rPr>
        <w:t xml:space="preserve"> </w:t>
      </w:r>
      <w:r w:rsidRPr="001D7E9D">
        <w:t>informatīvo ziņojumu</w:t>
      </w:r>
      <w:r w:rsidRPr="001D7E9D">
        <w:rPr>
          <w:bCs/>
        </w:rPr>
        <w:t xml:space="preserve"> </w:t>
      </w:r>
      <w:r w:rsidRPr="001D7E9D">
        <w:t xml:space="preserve">“Par valsts </w:t>
      </w:r>
      <w:r>
        <w:t>informācijas un komunikācijas tehnoloģiju resursu un kompetenču konsolidāciju</w:t>
      </w:r>
      <w:r w:rsidRPr="001D7E9D">
        <w:t>”</w:t>
      </w:r>
      <w:r>
        <w:t xml:space="preserve"> (VSS-356</w:t>
      </w:r>
      <w:r w:rsidRPr="001D7E9D">
        <w:t>)</w:t>
      </w:r>
      <w:r w:rsidRPr="001D7E9D">
        <w:rPr>
          <w:bCs/>
        </w:rPr>
        <w:t xml:space="preserve"> </w:t>
      </w:r>
      <w:r w:rsidRPr="001D7E9D">
        <w:t>un Ministru kabineta sēdes protokollēmuma projektu un izsaka</w:t>
      </w:r>
      <w:r w:rsidRPr="001D7E9D">
        <w:t xml:space="preserve"> šādus iebildumus:</w:t>
      </w:r>
    </w:p>
    <w:p w:rsidR="006A6738" w:rsidRDefault="006A6738" w:rsidP="006A6738">
      <w:pPr>
        <w:spacing w:after="0" w:line="240" w:lineRule="auto"/>
        <w:ind w:firstLine="720"/>
        <w:jc w:val="both"/>
      </w:pPr>
    </w:p>
    <w:p w:rsidR="004579AB" w:rsidRDefault="003C64F8" w:rsidP="006A6738">
      <w:pPr>
        <w:pStyle w:val="ListParagraph"/>
        <w:numPr>
          <w:ilvl w:val="0"/>
          <w:numId w:val="13"/>
        </w:numPr>
        <w:spacing w:after="0" w:line="240" w:lineRule="auto"/>
        <w:jc w:val="both"/>
      </w:pPr>
      <w:r>
        <w:t>P</w:t>
      </w:r>
      <w:r w:rsidRPr="00064FEC">
        <w:t>recizēt informatīvā ziņojuma mērķi, jo tas neatspoguļo informatīvā ziņojuma projekta saturu un protokollēmuma projektā noteiktos uzdevumus</w:t>
      </w:r>
      <w:r>
        <w:t>.</w:t>
      </w:r>
    </w:p>
    <w:p w:rsidR="00147560" w:rsidRDefault="00147560" w:rsidP="006A6738">
      <w:pPr>
        <w:pStyle w:val="ListParagraph"/>
        <w:spacing w:after="0" w:line="240" w:lineRule="auto"/>
        <w:jc w:val="both"/>
      </w:pPr>
    </w:p>
    <w:p w:rsidR="004579AB" w:rsidRDefault="003C64F8" w:rsidP="006A6738">
      <w:pPr>
        <w:pStyle w:val="ListParagraph"/>
        <w:numPr>
          <w:ilvl w:val="0"/>
          <w:numId w:val="13"/>
        </w:numPr>
        <w:spacing w:after="0" w:line="240" w:lineRule="auto"/>
        <w:jc w:val="both"/>
      </w:pPr>
      <w:r>
        <w:t xml:space="preserve">Papildināt </w:t>
      </w:r>
      <w:r w:rsidR="005B4207">
        <w:t xml:space="preserve">ziņojuma </w:t>
      </w:r>
      <w:r>
        <w:t>1.</w:t>
      </w:r>
      <w:r w:rsidR="00EA2317">
        <w:t> </w:t>
      </w:r>
      <w:r>
        <w:t>nodaļu</w:t>
      </w:r>
      <w:r w:rsidRPr="00064FEC">
        <w:t xml:space="preserve"> </w:t>
      </w:r>
      <w:r>
        <w:t xml:space="preserve">“Ievads” </w:t>
      </w:r>
      <w:r w:rsidRPr="00064FEC">
        <w:t>ar norādi, ka ministrijām, īstenojot informatīvajā ziņo</w:t>
      </w:r>
      <w:r w:rsidRPr="00064FEC">
        <w:t>jumā noteikt</w:t>
      </w:r>
      <w:r w:rsidR="00BB41F3">
        <w:t>os</w:t>
      </w:r>
      <w:r w:rsidRPr="00064FEC">
        <w:t xml:space="preserve"> </w:t>
      </w:r>
      <w:r w:rsidR="00BB41F3">
        <w:t>pasākumus</w:t>
      </w:r>
      <w:r w:rsidRPr="00064FEC">
        <w:t xml:space="preserve">, izstrādājot un ieviešot </w:t>
      </w:r>
      <w:r>
        <w:t xml:space="preserve">informācijas un komunikācijas tehnoloģijas (turpmāk – </w:t>
      </w:r>
      <w:r w:rsidRPr="00064FEC">
        <w:t>IKT</w:t>
      </w:r>
      <w:r>
        <w:t>)</w:t>
      </w:r>
      <w:r w:rsidR="00C4719E">
        <w:t>,</w:t>
      </w:r>
      <w:r w:rsidRPr="00064FEC">
        <w:t xml:space="preserve"> ir jānodrošina normatīvajos aktos noteiktās IKT drošības prasības, kā arī jāizvērtē pārbūves vai pārveidošanas ietekme uz sistēmas drošību. Tāpat jāveic pasākumi, lai sakārtotu un aizsargātu esošo sistēmu tehniskos un informācijas resursus.</w:t>
      </w:r>
    </w:p>
    <w:p w:rsidR="00147560" w:rsidRDefault="00147560" w:rsidP="006A6738">
      <w:pPr>
        <w:pStyle w:val="ListParagraph"/>
        <w:spacing w:after="0" w:line="240" w:lineRule="auto"/>
      </w:pPr>
    </w:p>
    <w:p w:rsidR="004579AB" w:rsidRDefault="003C64F8" w:rsidP="006A6738">
      <w:pPr>
        <w:pStyle w:val="ListParagraph"/>
        <w:numPr>
          <w:ilvl w:val="0"/>
          <w:numId w:val="13"/>
        </w:numPr>
        <w:spacing w:after="0" w:line="240" w:lineRule="auto"/>
        <w:jc w:val="both"/>
      </w:pPr>
      <w:r>
        <w:t xml:space="preserve">Papildināt </w:t>
      </w:r>
      <w:r w:rsidR="005B4207">
        <w:t xml:space="preserve">ziņojuma </w:t>
      </w:r>
      <w:r>
        <w:t>2.</w:t>
      </w:r>
      <w:r w:rsidR="00EA2317">
        <w:t> </w:t>
      </w:r>
      <w:r>
        <w:t>nodaļu</w:t>
      </w:r>
      <w:r w:rsidRPr="00064FEC">
        <w:t xml:space="preserve"> </w:t>
      </w:r>
      <w:bookmarkStart w:id="1" w:name="_Toc38449192"/>
      <w:bookmarkStart w:id="2" w:name="_Toc384377512"/>
      <w:bookmarkStart w:id="3" w:name="_Toc392680532"/>
      <w:bookmarkStart w:id="4" w:name="_Toc402361783"/>
      <w:bookmarkStart w:id="5" w:name="_Toc410146995"/>
      <w:r w:rsidRPr="00064FEC">
        <w:t>“Valsts IKT pārvaldības reformas nepieciešamība</w:t>
      </w:r>
      <w:bookmarkEnd w:id="1"/>
      <w:bookmarkEnd w:id="2"/>
      <w:bookmarkEnd w:id="3"/>
      <w:bookmarkEnd w:id="4"/>
      <w:bookmarkEnd w:id="5"/>
      <w:r w:rsidRPr="00147560">
        <w:rPr>
          <w:b/>
        </w:rPr>
        <w:t>”</w:t>
      </w:r>
      <w:r>
        <w:t xml:space="preserve"> </w:t>
      </w:r>
      <w:r w:rsidRPr="00064FEC">
        <w:t>ar informāciju par Loģiski vienotā datu centra</w:t>
      </w:r>
      <w:r w:rsidR="00EA2317">
        <w:t xml:space="preserve"> izveides projektu</w:t>
      </w:r>
      <w:r w:rsidRPr="00064FEC">
        <w:t xml:space="preserve">, kura mērķis </w:t>
      </w:r>
      <w:r w:rsidR="00C4719E">
        <w:t xml:space="preserve">ir </w:t>
      </w:r>
      <w:r w:rsidR="00BB41F3">
        <w:t>apvienot</w:t>
      </w:r>
      <w:r w:rsidR="00BB41F3" w:rsidRPr="00064FEC">
        <w:t xml:space="preserve"> </w:t>
      </w:r>
      <w:r w:rsidRPr="00064FEC">
        <w:t>datu centrus un serve</w:t>
      </w:r>
      <w:r w:rsidR="006E3426">
        <w:t>ru telpas,</w:t>
      </w:r>
      <w:r>
        <w:t xml:space="preserve"> </w:t>
      </w:r>
      <w:r w:rsidR="00EA2317">
        <w:t xml:space="preserve">un tā </w:t>
      </w:r>
      <w:r>
        <w:t>īstenošan</w:t>
      </w:r>
      <w:r w:rsidR="00CE3F61">
        <w:t>as</w:t>
      </w:r>
      <w:r w:rsidR="00EA2317">
        <w:t xml:space="preserve"> </w:t>
      </w:r>
      <w:r>
        <w:t>rezultātiem.</w:t>
      </w:r>
      <w:r w:rsidRPr="00064FEC">
        <w:t xml:space="preserve"> </w:t>
      </w:r>
    </w:p>
    <w:p w:rsidR="00147560" w:rsidRDefault="00147560" w:rsidP="006A6738">
      <w:pPr>
        <w:pStyle w:val="ListParagraph"/>
        <w:spacing w:after="0" w:line="240" w:lineRule="auto"/>
      </w:pPr>
    </w:p>
    <w:p w:rsidR="004579AB" w:rsidRDefault="003C64F8" w:rsidP="006A6738">
      <w:pPr>
        <w:pStyle w:val="ListParagraph"/>
        <w:numPr>
          <w:ilvl w:val="0"/>
          <w:numId w:val="13"/>
        </w:numPr>
        <w:spacing w:after="0" w:line="240" w:lineRule="auto"/>
        <w:jc w:val="both"/>
      </w:pPr>
      <w:r>
        <w:t xml:space="preserve">Papildināt </w:t>
      </w:r>
      <w:r w:rsidR="005B4207">
        <w:t xml:space="preserve">ziņojuma </w:t>
      </w:r>
      <w:r>
        <w:t>2.</w:t>
      </w:r>
      <w:r w:rsidR="00EA2317">
        <w:t> </w:t>
      </w:r>
      <w:r>
        <w:t>nodaļu</w:t>
      </w:r>
      <w:r w:rsidRPr="00064FEC">
        <w:t xml:space="preserve"> ar an</w:t>
      </w:r>
      <w:r w:rsidRPr="00064FEC">
        <w:t>alīzi par reformas nepieciešamību, jo šobrīd secinājums tiek balstīts uz Valsts kontroles secinājumiem, iestāžu veiktajiem pasākumiem IKT pārvaldības organizācijā un norādi, ka 2018.</w:t>
      </w:r>
      <w:r w:rsidR="00EA2317">
        <w:t> </w:t>
      </w:r>
      <w:r w:rsidRPr="00064FEC">
        <w:t>gada 20.</w:t>
      </w:r>
      <w:r w:rsidR="00EA2317">
        <w:t> </w:t>
      </w:r>
      <w:r w:rsidRPr="00064FEC">
        <w:t xml:space="preserve">februāra informatīvais ziņojums “Par mākoņdatošanas pakalpojumu </w:t>
      </w:r>
      <w:r w:rsidRPr="00064FEC">
        <w:t>izmantošanu valsts pārvaldē” bija nepilnīgs, neanalizējot iemeslus, kāpēc IKT infrastruktūras pakalpojumu brokera ideja nav īstenota.</w:t>
      </w:r>
      <w:r>
        <w:t xml:space="preserve"> </w:t>
      </w:r>
    </w:p>
    <w:p w:rsidR="00147560" w:rsidRDefault="00147560" w:rsidP="006A6738">
      <w:pPr>
        <w:pStyle w:val="ListParagraph"/>
        <w:spacing w:after="0" w:line="240" w:lineRule="auto"/>
      </w:pPr>
    </w:p>
    <w:p w:rsidR="004579AB" w:rsidRPr="000C108E" w:rsidRDefault="003C64F8" w:rsidP="006A6738">
      <w:pPr>
        <w:pStyle w:val="ListParagraph"/>
        <w:numPr>
          <w:ilvl w:val="0"/>
          <w:numId w:val="13"/>
        </w:numPr>
        <w:spacing w:after="0" w:line="240" w:lineRule="auto"/>
        <w:jc w:val="both"/>
        <w:rPr>
          <w:noProof/>
        </w:rPr>
      </w:pPr>
      <w:r w:rsidRPr="000C108E">
        <w:t>Valsts kontroles 2019.</w:t>
      </w:r>
      <w:r w:rsidR="00CE3F61">
        <w:t> </w:t>
      </w:r>
      <w:r w:rsidRPr="000C108E">
        <w:t>gada 21.</w:t>
      </w:r>
      <w:r w:rsidR="00CE3F61">
        <w:t> </w:t>
      </w:r>
      <w:r w:rsidRPr="000C108E">
        <w:t>maija revīzijas ziņojumā Nr.</w:t>
      </w:r>
      <w:r w:rsidR="00C4719E">
        <w:t> </w:t>
      </w:r>
      <w:r w:rsidRPr="000C108E">
        <w:t>2.4.1-12/2017 “</w:t>
      </w:r>
      <w:r w:rsidRPr="00147560">
        <w:rPr>
          <w:shd w:val="clear" w:color="auto" w:fill="FFFFFF"/>
        </w:rPr>
        <w:t xml:space="preserve">Vai valsts pārvaldē tiek noteikta vienota </w:t>
      </w:r>
      <w:r w:rsidRPr="00147560">
        <w:rPr>
          <w:shd w:val="clear" w:color="auto" w:fill="FFFFFF"/>
        </w:rPr>
        <w:t>IKT infrastruktūras pārvaldība, lai nodrošinātu tās efektīvu izmantošanu?</w:t>
      </w:r>
      <w:r w:rsidRPr="000C108E">
        <w:t xml:space="preserve">” tiek norādīts uz vairākiem nozīmīgiem trūkumiem, kas pastāv valsts IKT pārvaldības jomā, balstoties uz četru resoru audita laikā gūto informāciju. Galveno </w:t>
      </w:r>
      <w:r w:rsidRPr="000C108E">
        <w:lastRenderedPageBreak/>
        <w:t>secinājumu sadaļā tiek nor</w:t>
      </w:r>
      <w:r w:rsidRPr="000C108E">
        <w:t>ādīts uz nozīmīgas informācijas trūkumu, kas fundamentāli traucē izstrādāt pierādījumos balstītu rīcībpolitiku IKT pārvaldības jomā: “Konsekventi gadu no gada trūkst aprēķinu par IKT uzturēšanas izmaksām, un iestādēs netiek vērtēti alternatīvi risinājumi n</w:t>
      </w:r>
      <w:r w:rsidRPr="000C108E">
        <w:t>e IKT pakalpojumu nodrošināšanai, ne IKT infrastruktūras pārvaldībai. Tā arī nav izdevies risināt IKT resursu uzskaites un šo datu apkopošanas problēmas uz pierādījumiem balstītas rīcībpolitikas iedibināšanai IKT pārvaldības jomā, kas ļautu izvirzīt un def</w:t>
      </w:r>
      <w:r w:rsidRPr="000C108E">
        <w:t>inēt skaidri izmērāmus, reālistiskus sasniedzamo mērķu rādītājus, atsakoties no vispārīgā mērķa – IKT uzturēšanas izmaksu samazināšana</w:t>
      </w:r>
      <w:r w:rsidR="00C4719E">
        <w:t>.</w:t>
      </w:r>
      <w:r>
        <w:t>”</w:t>
      </w:r>
      <w:r w:rsidRPr="000C108E">
        <w:t xml:space="preserve"> </w:t>
      </w:r>
    </w:p>
    <w:p w:rsidR="00CE3F61" w:rsidRDefault="003C64F8" w:rsidP="00CE3F61">
      <w:pPr>
        <w:spacing w:after="0" w:line="240" w:lineRule="auto"/>
        <w:ind w:left="720" w:firstLine="720"/>
        <w:jc w:val="both"/>
      </w:pPr>
      <w:r>
        <w:t xml:space="preserve">Vides aizsardzības un reģionālās attīstības ministrijas </w:t>
      </w:r>
      <w:r w:rsidR="004579AB" w:rsidRPr="00836329">
        <w:t xml:space="preserve">ziņojumā nav norādes uz tādiem pierādījumos balstītas rīcībpolitikas veidošanas komponentiem kā: </w:t>
      </w:r>
    </w:p>
    <w:p w:rsidR="00CE3F61" w:rsidRDefault="003C64F8" w:rsidP="00CE3F61">
      <w:pPr>
        <w:pStyle w:val="ListParagraph"/>
        <w:numPr>
          <w:ilvl w:val="0"/>
          <w:numId w:val="14"/>
        </w:numPr>
        <w:spacing w:after="0" w:line="240" w:lineRule="auto"/>
        <w:jc w:val="both"/>
      </w:pPr>
      <w:r>
        <w:t>m</w:t>
      </w:r>
      <w:r w:rsidR="004579AB" w:rsidRPr="00CE3F61">
        <w:t xml:space="preserve">ērķu, uzdevumu un sasniedzamo rezultātu definējums; </w:t>
      </w:r>
    </w:p>
    <w:p w:rsidR="00CE3F61" w:rsidRPr="00CE3F61" w:rsidRDefault="003C64F8" w:rsidP="00CE3F61">
      <w:pPr>
        <w:pStyle w:val="ListParagraph"/>
        <w:numPr>
          <w:ilvl w:val="0"/>
          <w:numId w:val="14"/>
        </w:numPr>
        <w:spacing w:after="0" w:line="240" w:lineRule="auto"/>
        <w:jc w:val="both"/>
      </w:pPr>
      <w:r>
        <w:rPr>
          <w:szCs w:val="24"/>
        </w:rPr>
        <w:t>i</w:t>
      </w:r>
      <w:r w:rsidR="004579AB" w:rsidRPr="00CE3F61">
        <w:rPr>
          <w:szCs w:val="24"/>
        </w:rPr>
        <w:t xml:space="preserve">eguvumu un zaudējumu analīze; </w:t>
      </w:r>
    </w:p>
    <w:p w:rsidR="00CE3F61" w:rsidRPr="00CE3F61" w:rsidRDefault="003C64F8" w:rsidP="00CE3F61">
      <w:pPr>
        <w:pStyle w:val="ListParagraph"/>
        <w:numPr>
          <w:ilvl w:val="0"/>
          <w:numId w:val="14"/>
        </w:numPr>
        <w:spacing w:after="0" w:line="240" w:lineRule="auto"/>
        <w:jc w:val="both"/>
      </w:pPr>
      <w:r w:rsidRPr="00CE3F61">
        <w:rPr>
          <w:szCs w:val="24"/>
        </w:rPr>
        <w:t xml:space="preserve">SWOT un PEST analīze; </w:t>
      </w:r>
    </w:p>
    <w:p w:rsidR="00CE3F61" w:rsidRPr="00CE3F61" w:rsidRDefault="003C64F8" w:rsidP="00CE3F61">
      <w:pPr>
        <w:pStyle w:val="ListParagraph"/>
        <w:numPr>
          <w:ilvl w:val="0"/>
          <w:numId w:val="14"/>
        </w:numPr>
        <w:spacing w:after="0" w:line="240" w:lineRule="auto"/>
        <w:jc w:val="both"/>
      </w:pPr>
      <w:r>
        <w:rPr>
          <w:szCs w:val="24"/>
        </w:rPr>
        <w:t>r</w:t>
      </w:r>
      <w:r w:rsidR="004579AB" w:rsidRPr="00CE3F61">
        <w:rPr>
          <w:szCs w:val="24"/>
        </w:rPr>
        <w:t xml:space="preserve">īcībpolitikas dokumentu </w:t>
      </w:r>
      <w:r w:rsidR="004579AB" w:rsidRPr="00CE3F61">
        <w:rPr>
          <w:i/>
          <w:szCs w:val="24"/>
        </w:rPr>
        <w:t>ex ante</w:t>
      </w:r>
      <w:r w:rsidR="004579AB" w:rsidRPr="00CE3F61">
        <w:rPr>
          <w:szCs w:val="24"/>
        </w:rPr>
        <w:t xml:space="preserve"> un </w:t>
      </w:r>
      <w:r w:rsidR="004579AB" w:rsidRPr="00CE3F61">
        <w:rPr>
          <w:i/>
          <w:szCs w:val="24"/>
        </w:rPr>
        <w:t>ex post</w:t>
      </w:r>
      <w:r w:rsidR="004579AB" w:rsidRPr="00CE3F61">
        <w:rPr>
          <w:szCs w:val="24"/>
        </w:rPr>
        <w:t xml:space="preserve"> novērtējumi; </w:t>
      </w:r>
    </w:p>
    <w:p w:rsidR="00CE3F61" w:rsidRPr="00CE3F61" w:rsidRDefault="003C64F8" w:rsidP="00CE3F61">
      <w:pPr>
        <w:pStyle w:val="ListParagraph"/>
        <w:numPr>
          <w:ilvl w:val="0"/>
          <w:numId w:val="14"/>
        </w:numPr>
        <w:spacing w:after="0" w:line="240" w:lineRule="auto"/>
        <w:jc w:val="both"/>
      </w:pPr>
      <w:r>
        <w:rPr>
          <w:szCs w:val="24"/>
        </w:rPr>
        <w:t>r</w:t>
      </w:r>
      <w:r w:rsidR="004579AB" w:rsidRPr="00CE3F61">
        <w:rPr>
          <w:szCs w:val="24"/>
        </w:rPr>
        <w:t xml:space="preserve">isku un ievainojamību analīze; </w:t>
      </w:r>
    </w:p>
    <w:p w:rsidR="00CE3F61" w:rsidRPr="00CE3F61" w:rsidRDefault="003C64F8" w:rsidP="00CE3F61">
      <w:pPr>
        <w:pStyle w:val="ListParagraph"/>
        <w:numPr>
          <w:ilvl w:val="0"/>
          <w:numId w:val="14"/>
        </w:numPr>
        <w:spacing w:after="0" w:line="240" w:lineRule="auto"/>
        <w:jc w:val="both"/>
      </w:pPr>
      <w:r>
        <w:rPr>
          <w:szCs w:val="24"/>
        </w:rPr>
        <w:t>a</w:t>
      </w:r>
      <w:r w:rsidR="004579AB" w:rsidRPr="00CE3F61">
        <w:rPr>
          <w:szCs w:val="24"/>
        </w:rPr>
        <w:t xml:space="preserve">ktuālās situācijas problēmu un to pamata cēloņu analīze; </w:t>
      </w:r>
    </w:p>
    <w:p w:rsidR="004579AB" w:rsidRPr="00CE3F61" w:rsidRDefault="003C64F8" w:rsidP="00CE3F61">
      <w:pPr>
        <w:pStyle w:val="ListParagraph"/>
        <w:numPr>
          <w:ilvl w:val="0"/>
          <w:numId w:val="14"/>
        </w:numPr>
        <w:spacing w:after="0" w:line="240" w:lineRule="auto"/>
        <w:jc w:val="both"/>
      </w:pPr>
      <w:r>
        <w:rPr>
          <w:szCs w:val="24"/>
        </w:rPr>
        <w:t>n</w:t>
      </w:r>
      <w:r w:rsidRPr="00CE3F61">
        <w:rPr>
          <w:szCs w:val="24"/>
        </w:rPr>
        <w:t xml:space="preserve">epieciešamo resursu novērtējums. </w:t>
      </w:r>
    </w:p>
    <w:p w:rsidR="005B4207" w:rsidRPr="00836329" w:rsidRDefault="005B4207" w:rsidP="006A6738">
      <w:pPr>
        <w:pStyle w:val="ListParagraph"/>
        <w:spacing w:after="0" w:line="240" w:lineRule="auto"/>
        <w:jc w:val="both"/>
        <w:rPr>
          <w:szCs w:val="24"/>
        </w:rPr>
      </w:pPr>
    </w:p>
    <w:p w:rsidR="004579AB" w:rsidRDefault="003C64F8" w:rsidP="006A6738">
      <w:pPr>
        <w:pStyle w:val="ListParagraph"/>
        <w:numPr>
          <w:ilvl w:val="0"/>
          <w:numId w:val="13"/>
        </w:numPr>
        <w:spacing w:after="0" w:line="240" w:lineRule="auto"/>
        <w:jc w:val="both"/>
      </w:pPr>
      <w:r>
        <w:t xml:space="preserve">Norādīt apakškomisijas nosaukumu </w:t>
      </w:r>
      <w:r w:rsidR="005B4207">
        <w:t xml:space="preserve">ziņojuma </w:t>
      </w:r>
      <w:r w:rsidRPr="00064FEC">
        <w:t>3.</w:t>
      </w:r>
      <w:r w:rsidR="00CE3F61">
        <w:t> </w:t>
      </w:r>
      <w:r>
        <w:t xml:space="preserve">nodaļā </w:t>
      </w:r>
      <w:bookmarkStart w:id="6" w:name="_Toc38449193"/>
      <w:r>
        <w:t>“</w:t>
      </w:r>
      <w:r w:rsidRPr="00A90525">
        <w:t>Tiesiskā regulējuma un IKT pārvaldības organizācijas attīstība</w:t>
      </w:r>
      <w:bookmarkEnd w:id="6"/>
      <w:r>
        <w:t>”.</w:t>
      </w:r>
    </w:p>
    <w:p w:rsidR="005B4207" w:rsidRDefault="005B4207" w:rsidP="006A6738">
      <w:pPr>
        <w:pStyle w:val="ListParagraph"/>
        <w:spacing w:after="0" w:line="240" w:lineRule="auto"/>
        <w:jc w:val="both"/>
      </w:pPr>
    </w:p>
    <w:p w:rsidR="004579AB" w:rsidRDefault="003C64F8" w:rsidP="006A6738">
      <w:pPr>
        <w:pStyle w:val="ListParagraph"/>
        <w:numPr>
          <w:ilvl w:val="0"/>
          <w:numId w:val="13"/>
        </w:numPr>
        <w:spacing w:after="0" w:line="240" w:lineRule="auto"/>
        <w:jc w:val="both"/>
      </w:pPr>
      <w:r>
        <w:t xml:space="preserve">Papildināt </w:t>
      </w:r>
      <w:r w:rsidR="005B4207">
        <w:t xml:space="preserve">ziņojuma </w:t>
      </w:r>
      <w:r>
        <w:t>3.</w:t>
      </w:r>
      <w:r w:rsidR="00CE3F61">
        <w:t> </w:t>
      </w:r>
      <w:r>
        <w:t>nodaļu</w:t>
      </w:r>
      <w:r w:rsidR="00CE3F61">
        <w:t>,</w:t>
      </w:r>
      <w:r w:rsidRPr="00064FEC">
        <w:t xml:space="preserve"> pamatoj</w:t>
      </w:r>
      <w:r w:rsidR="00CE3F61">
        <w:t>ot</w:t>
      </w:r>
      <w:r w:rsidRPr="00064FEC">
        <w:t xml:space="preserve"> st</w:t>
      </w:r>
      <w:r w:rsidRPr="00064FEC">
        <w:t>eidzamīb</w:t>
      </w:r>
      <w:r w:rsidR="00C4719E">
        <w:t>u</w:t>
      </w:r>
      <w:r w:rsidRPr="00064FEC">
        <w:t>, kā</w:t>
      </w:r>
      <w:r w:rsidR="00C4719E">
        <w:t xml:space="preserve">dēļ </w:t>
      </w:r>
      <w:r w:rsidRPr="00064FEC">
        <w:t>nav lietderīgi gaidīt</w:t>
      </w:r>
      <w:r w:rsidR="004761C3">
        <w:t>, kad</w:t>
      </w:r>
      <w:r w:rsidRPr="00064FEC">
        <w:t xml:space="preserve"> </w:t>
      </w:r>
      <w:r w:rsidR="004761C3">
        <w:t xml:space="preserve">tiks pieņemts </w:t>
      </w:r>
      <w:r w:rsidRPr="00064FEC">
        <w:t>normatīv</w:t>
      </w:r>
      <w:r w:rsidR="004761C3">
        <w:t>ais</w:t>
      </w:r>
      <w:r w:rsidRPr="00064FEC">
        <w:t xml:space="preserve"> akt</w:t>
      </w:r>
      <w:r w:rsidR="004761C3">
        <w:t>s</w:t>
      </w:r>
      <w:r w:rsidRPr="00064FEC">
        <w:t>, kas paredz IKT pārvaldības reformas nosacījumus</w:t>
      </w:r>
      <w:r w:rsidR="004761C3">
        <w:t>.</w:t>
      </w:r>
    </w:p>
    <w:p w:rsidR="005B4207" w:rsidRDefault="005B4207" w:rsidP="006A6738">
      <w:pPr>
        <w:pStyle w:val="ListParagraph"/>
        <w:spacing w:after="0" w:line="240" w:lineRule="auto"/>
      </w:pPr>
    </w:p>
    <w:p w:rsidR="005B4207" w:rsidRDefault="003C64F8" w:rsidP="006A6738">
      <w:pPr>
        <w:pStyle w:val="ListParagraph"/>
        <w:numPr>
          <w:ilvl w:val="0"/>
          <w:numId w:val="13"/>
        </w:numPr>
        <w:spacing w:after="0" w:line="240" w:lineRule="auto"/>
        <w:jc w:val="both"/>
      </w:pPr>
      <w:r w:rsidRPr="00064FEC">
        <w:t>Ministru kabineta 2013.</w:t>
      </w:r>
      <w:r w:rsidR="004761C3">
        <w:t> </w:t>
      </w:r>
      <w:r w:rsidRPr="00064FEC">
        <w:t>gada 19.</w:t>
      </w:r>
      <w:r w:rsidR="004761C3">
        <w:t> </w:t>
      </w:r>
      <w:r w:rsidRPr="00064FEC">
        <w:t>februāra rīkojuma Nr.</w:t>
      </w:r>
      <w:r w:rsidR="004761C3">
        <w:t> </w:t>
      </w:r>
      <w:r w:rsidRPr="00064FEC">
        <w:t xml:space="preserve">57 “Par koncepciju </w:t>
      </w:r>
      <w:r w:rsidR="004761C3">
        <w:t>“</w:t>
      </w:r>
      <w:r w:rsidRPr="00064FEC">
        <w:t>Valsts informācijas un komunikācijas tehnoloģiju pārval</w:t>
      </w:r>
      <w:r w:rsidRPr="00064FEC">
        <w:t>dības organizatoriskais modelis</w:t>
      </w:r>
      <w:r w:rsidR="004761C3">
        <w:t>”</w:t>
      </w:r>
      <w:r w:rsidRPr="00064FEC">
        <w:t>” (turpmāk – MK rīkojums Nr.</w:t>
      </w:r>
      <w:r w:rsidR="004761C3">
        <w:t> </w:t>
      </w:r>
      <w:r w:rsidRPr="00064FEC">
        <w:t>57) 3.2.</w:t>
      </w:r>
      <w:r w:rsidR="004761C3">
        <w:t> </w:t>
      </w:r>
      <w:r w:rsidRPr="00064FEC">
        <w:t>apakšpunkts paredz ministrijām pienākumu atbilstoši IKT pārvaldības modelim savā resorā izveidot resora IKT pārvaldības organizācijas</w:t>
      </w:r>
      <w:r w:rsidR="00C4719E">
        <w:t xml:space="preserve"> modeli</w:t>
      </w:r>
      <w:r w:rsidRPr="00064FEC">
        <w:t>, kā arī koncepcija nosaka valsts IKT pārvaldī</w:t>
      </w:r>
      <w:r w:rsidRPr="00064FEC">
        <w:t>bas organizatorisko</w:t>
      </w:r>
      <w:r>
        <w:t xml:space="preserve"> </w:t>
      </w:r>
      <w:r w:rsidRPr="00064FEC">
        <w:t xml:space="preserve">modeli, tai skaitā resora IKT organizācijas funkcijas. Tā kā informatīvais ziņojums paredz izmaiņas un papildinājumus, tajā nepieciešams ietvert analīzi, kādas izmaiņas </w:t>
      </w:r>
      <w:r w:rsidR="00612CAE">
        <w:t xml:space="preserve">un </w:t>
      </w:r>
      <w:r w:rsidRPr="00064FEC">
        <w:t>kādi papildinājumi tiek ieviesti.</w:t>
      </w:r>
    </w:p>
    <w:p w:rsidR="005B4207" w:rsidRDefault="005B4207" w:rsidP="006A6738">
      <w:pPr>
        <w:pStyle w:val="ListParagraph"/>
        <w:spacing w:after="0" w:line="240" w:lineRule="auto"/>
      </w:pPr>
    </w:p>
    <w:p w:rsidR="004579AB" w:rsidRDefault="003C64F8" w:rsidP="006A6738">
      <w:pPr>
        <w:pStyle w:val="ListParagraph"/>
        <w:numPr>
          <w:ilvl w:val="0"/>
          <w:numId w:val="13"/>
        </w:numPr>
        <w:spacing w:after="0" w:line="240" w:lineRule="auto"/>
        <w:jc w:val="both"/>
      </w:pPr>
      <w:r>
        <w:t xml:space="preserve">Saskaņot </w:t>
      </w:r>
      <w:r w:rsidR="005B4207">
        <w:t xml:space="preserve">ziņojuma </w:t>
      </w:r>
      <w:r w:rsidRPr="00064FEC">
        <w:t>4.</w:t>
      </w:r>
      <w:r w:rsidR="004761C3">
        <w:t> </w:t>
      </w:r>
      <w:r w:rsidRPr="00064FEC">
        <w:t xml:space="preserve">nodaļas </w:t>
      </w:r>
      <w:bookmarkStart w:id="7" w:name="_Toc38449194"/>
      <w:r>
        <w:t>“</w:t>
      </w:r>
      <w:r w:rsidRPr="007D2C84">
        <w:t>IKT pārvaldība nozaru un iestāžu līmeņos</w:t>
      </w:r>
      <w:bookmarkEnd w:id="7"/>
      <w:r w:rsidRPr="005B4207">
        <w:rPr>
          <w:b/>
        </w:rPr>
        <w:t>”</w:t>
      </w:r>
      <w:r w:rsidRPr="00064FEC">
        <w:t xml:space="preserve"> </w:t>
      </w:r>
      <w:r>
        <w:t>sadaļu</w:t>
      </w:r>
      <w:r w:rsidRPr="00064FEC">
        <w:t xml:space="preserve"> </w:t>
      </w:r>
      <w:r>
        <w:t>par IKT arhitektūru</w:t>
      </w:r>
      <w:r w:rsidRPr="00064FEC">
        <w:t xml:space="preserve"> ar VARAM informatīvo ziņojumu “Par valsts pārvaldes informācijas sistēmu arhitektūras reformu” (VSS-335) un tajā noteiktajiem uzdevumiem ministrijām. AM ieskatā šī sadaļa ir svītrojama v</w:t>
      </w:r>
      <w:r w:rsidRPr="00064FEC">
        <w:t>ai arī ziņojumi ir apvienojami.</w:t>
      </w:r>
    </w:p>
    <w:p w:rsidR="005B4207" w:rsidRDefault="005B4207" w:rsidP="006A6738">
      <w:pPr>
        <w:pStyle w:val="ListParagraph"/>
        <w:spacing w:after="0" w:line="240" w:lineRule="auto"/>
      </w:pPr>
    </w:p>
    <w:p w:rsidR="004579AB" w:rsidRPr="005B4207" w:rsidRDefault="003C64F8" w:rsidP="006A6738">
      <w:pPr>
        <w:pStyle w:val="ListParagraph"/>
        <w:numPr>
          <w:ilvl w:val="0"/>
          <w:numId w:val="13"/>
        </w:numPr>
        <w:spacing w:after="0" w:line="240" w:lineRule="auto"/>
        <w:jc w:val="both"/>
      </w:pPr>
      <w:r>
        <w:t>Ziņojuma 4.</w:t>
      </w:r>
      <w:r w:rsidR="004761C3">
        <w:t> </w:t>
      </w:r>
      <w:r>
        <w:t>nodaļā minētais</w:t>
      </w:r>
      <w:r w:rsidR="00612CAE">
        <w:t>, ka</w:t>
      </w:r>
      <w:r>
        <w:t>: “</w:t>
      </w:r>
      <w:r w:rsidRPr="00774983">
        <w:t>Ministrijām sadarbībā ar VARAM ir jāizstrādā nozares līmeņa IKT arhitektūras konceptuālie plānojumi un IKT attīstības plāni, kas satur ne tikai informācijas sistēmu, bet arī resora izmantoj</w:t>
      </w:r>
      <w:r w:rsidRPr="00774983">
        <w:t>amo un attīstāmo IKT pakalpojumu attīstības plānus</w:t>
      </w:r>
      <w:r>
        <w:t>”</w:t>
      </w:r>
      <w:r w:rsidR="00612CAE">
        <w:t>,</w:t>
      </w:r>
      <w:r>
        <w:t xml:space="preserve"> varētu tikt atbalstīts </w:t>
      </w:r>
      <w:r w:rsidRPr="005B4207">
        <w:rPr>
          <w:rFonts w:ascii="Liberation Serif" w:hAnsi="Liberation Serif"/>
        </w:rPr>
        <w:t>publiski pieejam</w:t>
      </w:r>
      <w:r w:rsidR="00612CAE">
        <w:rPr>
          <w:rFonts w:ascii="Liberation Serif" w:hAnsi="Liberation Serif"/>
        </w:rPr>
        <w:t>aj</w:t>
      </w:r>
      <w:r w:rsidRPr="005B4207">
        <w:rPr>
          <w:rFonts w:ascii="Liberation Serif" w:hAnsi="Liberation Serif"/>
        </w:rPr>
        <w:t>ām informācijas sistēmām un neklasificētajām IKT, bet par klasificēt</w:t>
      </w:r>
      <w:r w:rsidR="00612CAE">
        <w:rPr>
          <w:rFonts w:ascii="Liberation Serif" w:hAnsi="Liberation Serif"/>
        </w:rPr>
        <w:t>aj</w:t>
      </w:r>
      <w:r w:rsidRPr="005B4207">
        <w:rPr>
          <w:rFonts w:ascii="Liberation Serif" w:hAnsi="Liberation Serif"/>
        </w:rPr>
        <w:t>iem plāniem, IKT operacionālajām vajadzībām u</w:t>
      </w:r>
      <w:r w:rsidR="00612CAE">
        <w:rPr>
          <w:rFonts w:ascii="Liberation Serif" w:hAnsi="Liberation Serif"/>
        </w:rPr>
        <w:t>. </w:t>
      </w:r>
      <w:r w:rsidRPr="005B4207">
        <w:rPr>
          <w:rFonts w:ascii="Liberation Serif" w:hAnsi="Liberation Serif"/>
        </w:rPr>
        <w:t xml:space="preserve">tml. </w:t>
      </w:r>
      <w:r w:rsidR="00612CAE">
        <w:rPr>
          <w:rFonts w:ascii="Liberation Serif" w:hAnsi="Liberation Serif"/>
        </w:rPr>
        <w:t xml:space="preserve">Aizsardzības ministrija </w:t>
      </w:r>
      <w:r w:rsidRPr="005B4207">
        <w:rPr>
          <w:rFonts w:ascii="Liberation Serif" w:hAnsi="Liberation Serif"/>
        </w:rPr>
        <w:t>nepiekrīt sniegt</w:t>
      </w:r>
      <w:r w:rsidRPr="005B4207">
        <w:rPr>
          <w:rFonts w:ascii="Liberation Serif" w:hAnsi="Liberation Serif"/>
        </w:rPr>
        <w:t xml:space="preserve"> informāciju VARAM attiecībā uz aizsardzības nozari.</w:t>
      </w:r>
    </w:p>
    <w:p w:rsidR="005B4207" w:rsidRDefault="005B4207" w:rsidP="006A6738">
      <w:pPr>
        <w:pStyle w:val="ListParagraph"/>
        <w:spacing w:after="0" w:line="240" w:lineRule="auto"/>
      </w:pPr>
    </w:p>
    <w:p w:rsidR="004579AB" w:rsidRDefault="003C64F8" w:rsidP="006A6738">
      <w:pPr>
        <w:pStyle w:val="ListParagraph"/>
        <w:numPr>
          <w:ilvl w:val="0"/>
          <w:numId w:val="13"/>
        </w:numPr>
        <w:spacing w:after="0" w:line="240" w:lineRule="auto"/>
        <w:jc w:val="both"/>
      </w:pPr>
      <w:r>
        <w:t xml:space="preserve">Papildināt </w:t>
      </w:r>
      <w:r w:rsidR="005B4207">
        <w:t xml:space="preserve">ziņojuma </w:t>
      </w:r>
      <w:r>
        <w:t>5.</w:t>
      </w:r>
      <w:r w:rsidR="004761C3">
        <w:t> </w:t>
      </w:r>
      <w:r>
        <w:t>nodaļu</w:t>
      </w:r>
      <w:r w:rsidRPr="00064FEC">
        <w:t xml:space="preserve"> ar analīzi </w:t>
      </w:r>
      <w:r>
        <w:t xml:space="preserve">par to, </w:t>
      </w:r>
      <w:r w:rsidRPr="00064FEC">
        <w:t>kāpēc un kādas izmaiņas ar šo informatīvo ziņojumu tiek veiktas 2018.</w:t>
      </w:r>
      <w:r w:rsidR="004761C3">
        <w:t> </w:t>
      </w:r>
      <w:r w:rsidRPr="00064FEC">
        <w:t>gada 20.</w:t>
      </w:r>
      <w:r w:rsidR="004761C3">
        <w:t> </w:t>
      </w:r>
      <w:r w:rsidRPr="00064FEC">
        <w:t xml:space="preserve">februāra informatīvajā ziņojumā “Par </w:t>
      </w:r>
      <w:r w:rsidRPr="00064FEC">
        <w:lastRenderedPageBreak/>
        <w:t xml:space="preserve">mākoņdatošanas pakalpojumu izmantošanu valsts pārvaldē”, tai skaitā attiecībā uz </w:t>
      </w:r>
      <w:bookmarkStart w:id="8" w:name="_Toc505072515"/>
      <w:bookmarkStart w:id="9" w:name="_Toc256000032"/>
      <w:bookmarkStart w:id="10" w:name="_Toc256000078"/>
      <w:r w:rsidRPr="00064FEC">
        <w:t>mākoņdatošanas pakalpojumu nodrošināšanas un sagādes pārvaldīb</w:t>
      </w:r>
      <w:bookmarkEnd w:id="8"/>
      <w:bookmarkEnd w:id="9"/>
      <w:bookmarkEnd w:id="10"/>
      <w:r w:rsidRPr="00064FEC">
        <w:t>u</w:t>
      </w:r>
      <w:r>
        <w:t>. Tāpat netiek risināta 2.</w:t>
      </w:r>
      <w:r w:rsidR="004761C3">
        <w:t> </w:t>
      </w:r>
      <w:r>
        <w:t>nodaļā</w:t>
      </w:r>
      <w:r w:rsidRPr="00064FEC">
        <w:t xml:space="preserve"> identificētā problēma attiecībā uz IKT in</w:t>
      </w:r>
      <w:r w:rsidRPr="00064FEC">
        <w:t>frastruktūras pakalpojumu brokeriem.</w:t>
      </w:r>
    </w:p>
    <w:p w:rsidR="005B4207" w:rsidRDefault="005B4207" w:rsidP="006A6738">
      <w:pPr>
        <w:pStyle w:val="ListParagraph"/>
        <w:spacing w:after="0" w:line="240" w:lineRule="auto"/>
      </w:pPr>
    </w:p>
    <w:p w:rsidR="004579AB" w:rsidRDefault="003C64F8" w:rsidP="006A6738">
      <w:pPr>
        <w:pStyle w:val="ListParagraph"/>
        <w:numPr>
          <w:ilvl w:val="0"/>
          <w:numId w:val="13"/>
        </w:numPr>
        <w:spacing w:after="0" w:line="240" w:lineRule="auto"/>
        <w:jc w:val="both"/>
        <w:rPr>
          <w:rFonts w:ascii="Liberation Serif" w:hAnsi="Liberation Serif"/>
        </w:rPr>
      </w:pPr>
      <w:r>
        <w:t xml:space="preserve">Precizēt </w:t>
      </w:r>
      <w:r w:rsidR="005B4207">
        <w:t xml:space="preserve">ziņojuma </w:t>
      </w:r>
      <w:r>
        <w:t>5.</w:t>
      </w:r>
      <w:r w:rsidR="004761C3">
        <w:t> </w:t>
      </w:r>
      <w:r>
        <w:t>nodaļā minēto: “</w:t>
      </w:r>
      <w:r w:rsidRPr="00774983">
        <w:t>Tāpēc ir svarīgi, lai koplietošanas skaitļošanas infrastruktūras pakalpojumu sniedzēji attīstītu savas IKT infrastruktūras par automatizētu konteineru pārvaldību nodrošinošiem mākoņ</w:t>
      </w:r>
      <w:r w:rsidRPr="00774983">
        <w:t xml:space="preserve">datošanas risinājumiem, kas var efektīvi savstarpēji integrēties valsts </w:t>
      </w:r>
      <w:r>
        <w:t xml:space="preserve">datu apstrādes mākoņa infrastruktūrā”, norādot, kas tas būs par mākoņdatošanas risinājumu, vai valsts dati tiks apstrādāti valsts līmeņa vai publiskā mākoņdatošanas risinājumā. </w:t>
      </w:r>
      <w:r w:rsidRPr="005B4207">
        <w:rPr>
          <w:rFonts w:ascii="Liberation Serif" w:hAnsi="Liberation Serif"/>
        </w:rPr>
        <w:t>Aizsard</w:t>
      </w:r>
      <w:r w:rsidRPr="005B4207">
        <w:rPr>
          <w:rFonts w:ascii="Liberation Serif" w:hAnsi="Liberation Serif"/>
        </w:rPr>
        <w:t xml:space="preserve">zības ministrija neatbalsta publisko mākoņdatošanas risinājumu izmantošanu </w:t>
      </w:r>
      <w:r w:rsidR="00612CAE">
        <w:rPr>
          <w:rFonts w:ascii="Liberation Serif" w:hAnsi="Liberation Serif"/>
        </w:rPr>
        <w:t>a</w:t>
      </w:r>
      <w:r w:rsidRPr="005B4207">
        <w:rPr>
          <w:rFonts w:ascii="Liberation Serif" w:hAnsi="Liberation Serif"/>
        </w:rPr>
        <w:t>izsardzības nozarē.</w:t>
      </w:r>
    </w:p>
    <w:p w:rsidR="006C699C" w:rsidRPr="006C699C" w:rsidRDefault="006C699C" w:rsidP="006A6738">
      <w:pPr>
        <w:pStyle w:val="ListParagraph"/>
        <w:spacing w:after="0" w:line="240" w:lineRule="auto"/>
        <w:rPr>
          <w:rFonts w:ascii="Liberation Serif" w:hAnsi="Liberation Serif"/>
        </w:rPr>
      </w:pPr>
    </w:p>
    <w:p w:rsidR="004579AB" w:rsidRDefault="003C64F8" w:rsidP="006A6738">
      <w:pPr>
        <w:pStyle w:val="ListParagraph"/>
        <w:numPr>
          <w:ilvl w:val="0"/>
          <w:numId w:val="13"/>
        </w:numPr>
        <w:spacing w:after="0" w:line="240" w:lineRule="auto"/>
        <w:jc w:val="both"/>
      </w:pPr>
      <w:r w:rsidRPr="005B4207">
        <w:rPr>
          <w:rFonts w:ascii="Liberation Serif" w:hAnsi="Liberation Serif"/>
        </w:rPr>
        <w:t xml:space="preserve">Papildināt </w:t>
      </w:r>
      <w:r w:rsidR="005B4207" w:rsidRPr="005B4207">
        <w:rPr>
          <w:rFonts w:ascii="Liberation Serif" w:hAnsi="Liberation Serif"/>
        </w:rPr>
        <w:t xml:space="preserve">ziņojuma </w:t>
      </w:r>
      <w:r w:rsidRPr="005B4207">
        <w:rPr>
          <w:rFonts w:ascii="Liberation Serif" w:hAnsi="Liberation Serif"/>
        </w:rPr>
        <w:t>5.</w:t>
      </w:r>
      <w:r w:rsidR="004761C3">
        <w:rPr>
          <w:rFonts w:ascii="Liberation Serif" w:hAnsi="Liberation Serif" w:hint="eastAsia"/>
        </w:rPr>
        <w:t> </w:t>
      </w:r>
      <w:r w:rsidRPr="005B4207">
        <w:rPr>
          <w:rFonts w:ascii="Liberation Serif" w:hAnsi="Liberation Serif"/>
        </w:rPr>
        <w:t>nodaļu ar pamatojumu par kritērija izvēli, k</w:t>
      </w:r>
      <w:r w:rsidRPr="00774983">
        <w:t>a nozares skaitļošanas infrastruktūras pakalpojumu sniedzēja rīcībā ir</w:t>
      </w:r>
      <w:r>
        <w:t xml:space="preserve"> </w:t>
      </w:r>
      <w:r w:rsidRPr="00774983">
        <w:t xml:space="preserve">datu centra </w:t>
      </w:r>
      <w:r w:rsidRPr="00774983">
        <w:t>infrastruktūra vismaz 750</w:t>
      </w:r>
      <w:r w:rsidR="00612CAE">
        <w:t> </w:t>
      </w:r>
      <w:r w:rsidRPr="00774983">
        <w:t>nosacīto statņu augstuma vienību iekārtu apjomā</w:t>
      </w:r>
      <w:r>
        <w:t>. Mobilitātes gadījumā, kas ir aizsardzības nozarei</w:t>
      </w:r>
      <w:r w:rsidR="004761C3" w:rsidRPr="004761C3">
        <w:t xml:space="preserve"> </w:t>
      </w:r>
      <w:r w:rsidR="004761C3">
        <w:t>svarīgs faktors</w:t>
      </w:r>
      <w:r>
        <w:t>, šāds datu centrs nebūtu pārvietojams.</w:t>
      </w:r>
    </w:p>
    <w:p w:rsidR="006C699C" w:rsidRDefault="006C699C" w:rsidP="006A6738">
      <w:pPr>
        <w:pStyle w:val="ListParagraph"/>
        <w:spacing w:after="0" w:line="240" w:lineRule="auto"/>
      </w:pPr>
    </w:p>
    <w:p w:rsidR="004579AB" w:rsidRDefault="003C64F8" w:rsidP="006A6738">
      <w:pPr>
        <w:pStyle w:val="ListParagraph"/>
        <w:numPr>
          <w:ilvl w:val="0"/>
          <w:numId w:val="13"/>
        </w:numPr>
        <w:spacing w:after="0" w:line="240" w:lineRule="auto"/>
        <w:jc w:val="both"/>
      </w:pPr>
      <w:r>
        <w:t xml:space="preserve">Pamatojoties uz </w:t>
      </w:r>
      <w:r w:rsidR="006C699C">
        <w:t xml:space="preserve">ziņojuma </w:t>
      </w:r>
      <w:r>
        <w:t>5.</w:t>
      </w:r>
      <w:r w:rsidR="004761C3">
        <w:t> </w:t>
      </w:r>
      <w:r>
        <w:t>nodaļas rindkopu: “Informatīvais ziņojums un Mi</w:t>
      </w:r>
      <w:r>
        <w:t>nistru kabineta</w:t>
      </w:r>
      <w:r w:rsidRPr="00064FEC">
        <w:t xml:space="preserve"> rīkojuma projektā minētās darbības neattiecas uz IKT resursiem, kas apstrādā informāciju, kas minēta Informācijas atklātības likuma 5</w:t>
      </w:r>
      <w:r w:rsidR="004761C3">
        <w:t> </w:t>
      </w:r>
      <w:r w:rsidRPr="00064FEC">
        <w:t>panta (Ierobežotas pieejamības informācija) 2.</w:t>
      </w:r>
      <w:r w:rsidR="004761C3">
        <w:t> </w:t>
      </w:r>
      <w:r w:rsidRPr="00064FEC">
        <w:t>punktā.</w:t>
      </w:r>
      <w:r w:rsidRPr="006139B1">
        <w:t xml:space="preserve"> </w:t>
      </w:r>
      <w:r w:rsidRPr="00774983">
        <w:t xml:space="preserve">Lai paātrinātu pāreju uz koplietošanas pakalpojumu </w:t>
      </w:r>
      <w:r w:rsidRPr="00774983">
        <w:t>izmantošanu skaitļošanas infrastruktūras jomā, sākot ar 2020.</w:t>
      </w:r>
      <w:r w:rsidR="004761C3">
        <w:t> </w:t>
      </w:r>
      <w:r w:rsidRPr="00774983">
        <w:t>gada 1.</w:t>
      </w:r>
      <w:r w:rsidR="004761C3">
        <w:t> </w:t>
      </w:r>
      <w:r w:rsidRPr="00774983">
        <w:t>jūliju</w:t>
      </w:r>
      <w:r w:rsidR="00612CAE">
        <w:t>,</w:t>
      </w:r>
      <w:r w:rsidRPr="00774983">
        <w:t xml:space="preserve"> tiks noteikti ierobežojumi datu centru iekārtu aprīkojuma (t.</w:t>
      </w:r>
      <w:r w:rsidR="00612CAE">
        <w:t> </w:t>
      </w:r>
      <w:r w:rsidRPr="00774983">
        <w:t>sk. serveru un datu uzkrāšanas iekārtu) iegādei, neatkarīgi no tās finansējuma avota. Tā tiek pieļauta tikai skaitļo</w:t>
      </w:r>
      <w:r w:rsidRPr="00774983">
        <w:t>šanas infrastruktūras koplietošanas pakalpojumu sniedzējiem, kuri iesniegs un saskaņos skaitļošanas infrastruktūras pakalpojumu attīstības plānus VARAM, kā arī ar VARAM saskaņot</w:t>
      </w:r>
      <w:r>
        <w:t>ās pamatotu izņēmumu situācijās”, piemēram, ne MilCERT, ne CERT.lv bez VARAM sa</w:t>
      </w:r>
      <w:r>
        <w:t>skaņojuma nevarēs iegādāties iekārtas sensoru tīkla uzturēšanai, kā arī Nacionālie bruņotie spēki nevarēs attīstīt savas sistēmas operacionālajām vajadzībām bez VARAM saskaņojuma.</w:t>
      </w:r>
    </w:p>
    <w:p w:rsidR="006A6738" w:rsidRDefault="006A6738" w:rsidP="006A6738">
      <w:pPr>
        <w:spacing w:after="0" w:line="240" w:lineRule="auto"/>
        <w:jc w:val="both"/>
      </w:pPr>
    </w:p>
    <w:p w:rsidR="004579AB" w:rsidRPr="000E4470" w:rsidRDefault="003C64F8" w:rsidP="006A6738">
      <w:pPr>
        <w:pStyle w:val="Standard"/>
        <w:numPr>
          <w:ilvl w:val="0"/>
          <w:numId w:val="13"/>
        </w:numPr>
        <w:jc w:val="both"/>
        <w:rPr>
          <w:rFonts w:ascii="Times New Roman" w:hAnsi="Times New Roman" w:cs="Times New Roman"/>
          <w:lang w:val="lv-LV"/>
        </w:rPr>
      </w:pPr>
      <w:r>
        <w:rPr>
          <w:rFonts w:ascii="Times New Roman" w:hAnsi="Times New Roman" w:cs="Times New Roman"/>
          <w:lang w:val="lv-LV"/>
        </w:rPr>
        <w:t>Aizsardzības ministrija nepiekrīt,</w:t>
      </w:r>
      <w:r w:rsidRPr="00B14B86">
        <w:rPr>
          <w:rFonts w:ascii="Times New Roman" w:hAnsi="Times New Roman" w:cs="Times New Roman"/>
          <w:lang w:val="lv-LV"/>
        </w:rPr>
        <w:t xml:space="preserve"> ka visiem </w:t>
      </w:r>
      <w:r>
        <w:rPr>
          <w:rFonts w:ascii="Times New Roman" w:hAnsi="Times New Roman" w:cs="Times New Roman"/>
          <w:lang w:val="lv-LV"/>
        </w:rPr>
        <w:t xml:space="preserve">IKT </w:t>
      </w:r>
      <w:r w:rsidRPr="00B14B86">
        <w:rPr>
          <w:rFonts w:ascii="Times New Roman" w:hAnsi="Times New Roman" w:cs="Times New Roman"/>
          <w:lang w:val="lv-LV"/>
        </w:rPr>
        <w:t>pakalpojumiem būtu jābūt k</w:t>
      </w:r>
      <w:r w:rsidRPr="00B14B86">
        <w:rPr>
          <w:rFonts w:ascii="Times New Roman" w:hAnsi="Times New Roman" w:cs="Times New Roman"/>
          <w:lang w:val="lv-LV"/>
        </w:rPr>
        <w:t>ā koplietošanas pakalpojumiem, kā arī</w:t>
      </w:r>
      <w:r>
        <w:rPr>
          <w:rFonts w:ascii="Times New Roman" w:hAnsi="Times New Roman" w:cs="Times New Roman"/>
          <w:lang w:val="lv-LV"/>
        </w:rPr>
        <w:t xml:space="preserve"> </w:t>
      </w:r>
      <w:r w:rsidR="000414EB">
        <w:rPr>
          <w:rFonts w:ascii="Times New Roman" w:hAnsi="Times New Roman" w:cs="Times New Roman"/>
          <w:lang w:val="lv-LV"/>
        </w:rPr>
        <w:t xml:space="preserve">tas </w:t>
      </w:r>
      <w:r>
        <w:rPr>
          <w:rFonts w:ascii="Times New Roman" w:hAnsi="Times New Roman" w:cs="Times New Roman"/>
          <w:lang w:val="lv-LV"/>
        </w:rPr>
        <w:t>nebūs</w:t>
      </w:r>
      <w:r w:rsidRPr="00B14B86">
        <w:rPr>
          <w:rFonts w:ascii="Times New Roman" w:hAnsi="Times New Roman" w:cs="Times New Roman"/>
          <w:lang w:val="lv-LV"/>
        </w:rPr>
        <w:t xml:space="preserve"> praktiski iespējams, ka visi pakalpojumi būs koplietošanas pakalpojumi.</w:t>
      </w:r>
      <w:r>
        <w:rPr>
          <w:rFonts w:ascii="Times New Roman" w:hAnsi="Times New Roman" w:cs="Times New Roman"/>
          <w:lang w:val="lv-LV"/>
        </w:rPr>
        <w:t xml:space="preserve"> Turklāt </w:t>
      </w:r>
      <w:r w:rsidRPr="00C238C3">
        <w:rPr>
          <w:lang w:val="lv-LV"/>
        </w:rPr>
        <w:t>IKT resursu un kompetenču konsolidācija aizsardzības resor</w:t>
      </w:r>
      <w:r w:rsidR="00565DA1">
        <w:rPr>
          <w:lang w:val="lv-LV"/>
        </w:rPr>
        <w:t xml:space="preserve">ā </w:t>
      </w:r>
      <w:r w:rsidRPr="00C238C3">
        <w:rPr>
          <w:lang w:val="lv-LV"/>
        </w:rPr>
        <w:t>v</w:t>
      </w:r>
      <w:r>
        <w:rPr>
          <w:lang w:val="lv-LV"/>
        </w:rPr>
        <w:t xml:space="preserve">ērtējama kā </w:t>
      </w:r>
      <w:r w:rsidRPr="00C238C3">
        <w:rPr>
          <w:lang w:val="lv-LV"/>
        </w:rPr>
        <w:t>bīstama</w:t>
      </w:r>
      <w:r>
        <w:rPr>
          <w:lang w:val="lv-LV"/>
        </w:rPr>
        <w:t>, jo</w:t>
      </w:r>
      <w:r w:rsidR="00565DA1">
        <w:rPr>
          <w:lang w:val="lv-LV"/>
        </w:rPr>
        <w:t>,</w:t>
      </w:r>
      <w:r>
        <w:rPr>
          <w:lang w:val="lv-LV"/>
        </w:rPr>
        <w:t xml:space="preserve"> koncentrējot resursus vienuviet, tiek radīts mērķis, kuram </w:t>
      </w:r>
      <w:r w:rsidRPr="00C238C3">
        <w:rPr>
          <w:lang w:val="lv-LV"/>
        </w:rPr>
        <w:t>uzbrūkot digitāli vai to fiziski iznīcinot, tiek paralizēta vai pilnībā iznīcināta sistēmas darbība, kas nav pieļaujams scenārijs valsts aizsardzības kontekstā. Arī visas kritiskās informācijas ko</w:t>
      </w:r>
      <w:r w:rsidRPr="00C238C3">
        <w:rPr>
          <w:lang w:val="lv-LV"/>
        </w:rPr>
        <w:t>ncentrēšana vienuviet ir pretrunā ar pasaulē pieņemto dalīšanas (</w:t>
      </w:r>
      <w:r w:rsidRPr="00C238C3">
        <w:rPr>
          <w:i/>
          <w:lang w:val="lv-LV"/>
        </w:rPr>
        <w:t>compartmentation</w:t>
      </w:r>
      <w:r w:rsidRPr="00C238C3">
        <w:rPr>
          <w:lang w:val="lv-LV"/>
        </w:rPr>
        <w:t xml:space="preserve">) principu, kuru </w:t>
      </w:r>
      <w:r w:rsidR="00BB41F3">
        <w:rPr>
          <w:lang w:val="lv-LV"/>
        </w:rPr>
        <w:t>izmanto</w:t>
      </w:r>
      <w:r w:rsidRPr="00C238C3">
        <w:rPr>
          <w:lang w:val="lv-LV"/>
        </w:rPr>
        <w:t>, piemēram, izlūkošanas organizāc</w:t>
      </w:r>
      <w:r>
        <w:rPr>
          <w:lang w:val="lv-LV"/>
        </w:rPr>
        <w:t>ijas</w:t>
      </w:r>
      <w:r w:rsidR="00565DA1">
        <w:rPr>
          <w:lang w:val="lv-LV"/>
        </w:rPr>
        <w:t xml:space="preserve"> savā darbā</w:t>
      </w:r>
      <w:r w:rsidRPr="00C238C3">
        <w:rPr>
          <w:lang w:val="lv-LV"/>
        </w:rPr>
        <w:t>.</w:t>
      </w:r>
      <w:r>
        <w:rPr>
          <w:lang w:val="lv-LV"/>
        </w:rPr>
        <w:t xml:space="preserve"> </w:t>
      </w:r>
      <w:r w:rsidRPr="00066D93">
        <w:rPr>
          <w:lang w:val="lv-LV"/>
        </w:rPr>
        <w:t>Līdzīg</w:t>
      </w:r>
      <w:r w:rsidR="00565DA1">
        <w:rPr>
          <w:lang w:val="lv-LV"/>
        </w:rPr>
        <w:t xml:space="preserve">u </w:t>
      </w:r>
      <w:r w:rsidRPr="00066D93">
        <w:rPr>
          <w:lang w:val="lv-LV"/>
        </w:rPr>
        <w:t>apdraudējumu rad</w:t>
      </w:r>
      <w:r>
        <w:rPr>
          <w:lang w:val="lv-LV"/>
        </w:rPr>
        <w:t>a arī iekārtu kritiskās kļūmes</w:t>
      </w:r>
      <w:r w:rsidRPr="00066D93">
        <w:rPr>
          <w:lang w:val="lv-LV"/>
        </w:rPr>
        <w:t xml:space="preserve"> un ārēji</w:t>
      </w:r>
      <w:r w:rsidR="00565DA1">
        <w:rPr>
          <w:lang w:val="lv-LV"/>
        </w:rPr>
        <w:t>e</w:t>
      </w:r>
      <w:r w:rsidRPr="00066D93">
        <w:rPr>
          <w:lang w:val="lv-LV"/>
        </w:rPr>
        <w:t xml:space="preserve"> un vides apdraudējumi un to potenciā</w:t>
      </w:r>
      <w:r w:rsidRPr="00066D93">
        <w:rPr>
          <w:lang w:val="lv-LV"/>
        </w:rPr>
        <w:t>li izraisītie vissliktāk</w:t>
      </w:r>
      <w:r w:rsidR="00565DA1">
        <w:rPr>
          <w:lang w:val="lv-LV"/>
        </w:rPr>
        <w:t>ie</w:t>
      </w:r>
      <w:r w:rsidRPr="00066D93">
        <w:rPr>
          <w:lang w:val="lv-LV"/>
        </w:rPr>
        <w:t xml:space="preserve"> iespējam</w:t>
      </w:r>
      <w:r w:rsidR="00565DA1">
        <w:rPr>
          <w:lang w:val="lv-LV"/>
        </w:rPr>
        <w:t>ie</w:t>
      </w:r>
      <w:r w:rsidRPr="00066D93">
        <w:rPr>
          <w:lang w:val="lv-LV"/>
        </w:rPr>
        <w:t xml:space="preserve"> scenāriji.</w:t>
      </w:r>
      <w:r>
        <w:rPr>
          <w:lang w:val="lv-LV"/>
        </w:rPr>
        <w:t xml:space="preserve"> Valsts kontroles revīzijas ziņojumā</w:t>
      </w:r>
      <w:r w:rsidR="000414EB">
        <w:rPr>
          <w:lang w:val="lv-LV"/>
        </w:rPr>
        <w:t xml:space="preserve"> ir norādīts</w:t>
      </w:r>
      <w:r>
        <w:rPr>
          <w:lang w:val="lv-LV"/>
        </w:rPr>
        <w:t xml:space="preserve">: </w:t>
      </w:r>
      <w:r w:rsidRPr="000E4470">
        <w:rPr>
          <w:lang w:val="lv-LV"/>
        </w:rPr>
        <w:t>“Latvijā nav izvirzītas konkrētas drošības prasības IKT infrastruktūrai (piemēram, ir prasības attiecībā uz dažādiem loģiskās drošības kritērijiem, bet nav kr</w:t>
      </w:r>
      <w:r w:rsidRPr="000E4470">
        <w:rPr>
          <w:lang w:val="lv-LV"/>
        </w:rPr>
        <w:t>itēriju infrastruktūras fiziskajai un vides drošībai)</w:t>
      </w:r>
      <w:r w:rsidR="00031834">
        <w:rPr>
          <w:lang w:val="lv-LV"/>
        </w:rPr>
        <w:t>.</w:t>
      </w:r>
      <w:r w:rsidRPr="000E4470">
        <w:rPr>
          <w:lang w:val="lv-LV"/>
        </w:rPr>
        <w:t>”</w:t>
      </w:r>
    </w:p>
    <w:p w:rsidR="004579AB" w:rsidRDefault="004579AB" w:rsidP="006A6738">
      <w:pPr>
        <w:pStyle w:val="Standard"/>
        <w:jc w:val="both"/>
        <w:rPr>
          <w:rFonts w:ascii="Times New Roman" w:hAnsi="Times New Roman" w:cs="Times New Roman"/>
          <w:lang w:val="lv-LV"/>
        </w:rPr>
      </w:pPr>
    </w:p>
    <w:p w:rsidR="004579AB" w:rsidRDefault="003C64F8" w:rsidP="006A6738">
      <w:pPr>
        <w:pStyle w:val="Standard"/>
        <w:numPr>
          <w:ilvl w:val="0"/>
          <w:numId w:val="13"/>
        </w:numPr>
        <w:jc w:val="both"/>
        <w:rPr>
          <w:rFonts w:ascii="Times New Roman" w:hAnsi="Times New Roman" w:cs="Times New Roman"/>
          <w:iCs/>
          <w:color w:val="000000"/>
          <w:lang w:val="lv-LV"/>
        </w:rPr>
      </w:pPr>
      <w:r w:rsidRPr="00472297">
        <w:rPr>
          <w:rFonts w:ascii="Times New Roman" w:hAnsi="Times New Roman" w:cs="Times New Roman"/>
          <w:iCs/>
          <w:color w:val="000000"/>
          <w:lang w:val="lv-LV"/>
        </w:rPr>
        <w:t>Tāpat kā skaitļošanas infrastruktūras pakalpojumiem, arī datorizēto darba vietu nodrošinājuma pakalpojumiem nav nozaru specifikas, ja par tādu neuzskata īpašās prasības, kas tiek izvirzītas akreditēj</w:t>
      </w:r>
      <w:r w:rsidRPr="00472297">
        <w:rPr>
          <w:rFonts w:ascii="Times New Roman" w:hAnsi="Times New Roman" w:cs="Times New Roman"/>
          <w:iCs/>
          <w:color w:val="000000"/>
          <w:lang w:val="lv-LV"/>
        </w:rPr>
        <w:t xml:space="preserve">amo datu apstrādes infrastruktūru iekārtām. </w:t>
      </w:r>
      <w:r w:rsidR="00031834">
        <w:rPr>
          <w:rFonts w:ascii="Times New Roman" w:hAnsi="Times New Roman" w:cs="Times New Roman"/>
          <w:iCs/>
          <w:color w:val="000000"/>
          <w:lang w:val="lv-LV"/>
        </w:rPr>
        <w:t xml:space="preserve">Tātad </w:t>
      </w:r>
      <w:r w:rsidRPr="00472297">
        <w:rPr>
          <w:rFonts w:ascii="Times New Roman" w:hAnsi="Times New Roman" w:cs="Times New Roman"/>
          <w:iCs/>
          <w:color w:val="000000"/>
          <w:lang w:val="lv-LV"/>
        </w:rPr>
        <w:t xml:space="preserve">arī </w:t>
      </w:r>
      <w:r w:rsidRPr="00472297">
        <w:rPr>
          <w:rFonts w:ascii="Times New Roman" w:hAnsi="Times New Roman" w:cs="Times New Roman"/>
          <w:iCs/>
          <w:color w:val="000000"/>
          <w:lang w:val="lv-LV"/>
        </w:rPr>
        <w:lastRenderedPageBreak/>
        <w:t>datorizēto darba vietu nodrošinājum</w:t>
      </w:r>
      <w:r w:rsidR="00031834">
        <w:rPr>
          <w:rFonts w:ascii="Times New Roman" w:hAnsi="Times New Roman" w:cs="Times New Roman"/>
          <w:iCs/>
          <w:color w:val="000000"/>
          <w:lang w:val="lv-LV"/>
        </w:rPr>
        <w:t>u</w:t>
      </w:r>
      <w:r w:rsidRPr="00472297">
        <w:rPr>
          <w:rFonts w:ascii="Times New Roman" w:hAnsi="Times New Roman" w:cs="Times New Roman"/>
          <w:iCs/>
          <w:color w:val="000000"/>
          <w:lang w:val="lv-LV"/>
        </w:rPr>
        <w:t>, ieskaitot akreditējamās IKT infrastruktūras nodrošinājumu, var īstenot šaurs specializēt</w:t>
      </w:r>
      <w:r w:rsidR="000414EB">
        <w:rPr>
          <w:rFonts w:ascii="Times New Roman" w:hAnsi="Times New Roman" w:cs="Times New Roman"/>
          <w:iCs/>
          <w:color w:val="000000"/>
          <w:lang w:val="lv-LV"/>
        </w:rPr>
        <w:t>o</w:t>
      </w:r>
      <w:r w:rsidRPr="00472297">
        <w:rPr>
          <w:rFonts w:ascii="Times New Roman" w:hAnsi="Times New Roman" w:cs="Times New Roman"/>
          <w:iCs/>
          <w:color w:val="000000"/>
          <w:lang w:val="lv-LV"/>
        </w:rPr>
        <w:t xml:space="preserve"> koplietošanas pakalpojumu sniedzēju loks, neatkarīgi no pakalpojumu sniedz</w:t>
      </w:r>
      <w:r w:rsidRPr="00472297">
        <w:rPr>
          <w:rFonts w:ascii="Times New Roman" w:hAnsi="Times New Roman" w:cs="Times New Roman"/>
          <w:iCs/>
          <w:color w:val="000000"/>
          <w:lang w:val="lv-LV"/>
        </w:rPr>
        <w:t xml:space="preserve">ēju un saņēmēju pārvaldes nozares piederības. </w:t>
      </w:r>
    </w:p>
    <w:p w:rsidR="004579AB" w:rsidRDefault="004579AB" w:rsidP="006A6738">
      <w:pPr>
        <w:pStyle w:val="Standard"/>
        <w:jc w:val="both"/>
        <w:rPr>
          <w:rFonts w:ascii="Times New Roman" w:hAnsi="Times New Roman" w:cs="Times New Roman"/>
          <w:iCs/>
          <w:color w:val="000000"/>
          <w:lang w:val="lv-LV"/>
        </w:rPr>
      </w:pPr>
    </w:p>
    <w:p w:rsidR="004579AB" w:rsidRPr="006C699C" w:rsidRDefault="003C64F8" w:rsidP="006A6738">
      <w:pPr>
        <w:pStyle w:val="Standard"/>
        <w:numPr>
          <w:ilvl w:val="0"/>
          <w:numId w:val="13"/>
        </w:numPr>
        <w:jc w:val="both"/>
        <w:rPr>
          <w:lang w:val="lv-LV"/>
        </w:rPr>
      </w:pPr>
      <w:r w:rsidRPr="00832AE6">
        <w:rPr>
          <w:rFonts w:ascii="Times New Roman" w:hAnsi="Times New Roman" w:cs="Times New Roman"/>
          <w:color w:val="000000"/>
          <w:lang w:val="lv-LV"/>
        </w:rPr>
        <w:t xml:space="preserve">Ja </w:t>
      </w:r>
      <w:r>
        <w:rPr>
          <w:rFonts w:ascii="Times New Roman" w:hAnsi="Times New Roman" w:cs="Times New Roman"/>
          <w:color w:val="000000"/>
          <w:lang w:val="lv-LV"/>
        </w:rPr>
        <w:t xml:space="preserve">nozaru ministriju rīcībā nav vai </w:t>
      </w:r>
      <w:r w:rsidRPr="00832AE6">
        <w:rPr>
          <w:rFonts w:ascii="Times New Roman" w:hAnsi="Times New Roman" w:cs="Times New Roman"/>
          <w:color w:val="000000"/>
          <w:lang w:val="lv-LV"/>
        </w:rPr>
        <w:t>nebūs atbilstoš</w:t>
      </w:r>
      <w:r w:rsidR="006E3426">
        <w:rPr>
          <w:rFonts w:ascii="Times New Roman" w:hAnsi="Times New Roman" w:cs="Times New Roman"/>
          <w:color w:val="000000"/>
          <w:lang w:val="lv-LV"/>
        </w:rPr>
        <w:t>a</w:t>
      </w:r>
      <w:r w:rsidRPr="00832AE6">
        <w:rPr>
          <w:rFonts w:ascii="Times New Roman" w:hAnsi="Times New Roman" w:cs="Times New Roman"/>
          <w:color w:val="000000"/>
          <w:lang w:val="lv-LV"/>
        </w:rPr>
        <w:t xml:space="preserve"> skait</w:t>
      </w:r>
      <w:r w:rsidR="006E3426">
        <w:rPr>
          <w:rFonts w:ascii="Times New Roman" w:hAnsi="Times New Roman" w:cs="Times New Roman"/>
          <w:color w:val="000000"/>
          <w:lang w:val="lv-LV"/>
        </w:rPr>
        <w:t>a</w:t>
      </w:r>
      <w:r w:rsidR="000414EB">
        <w:rPr>
          <w:rFonts w:ascii="Times New Roman" w:hAnsi="Times New Roman" w:cs="Times New Roman"/>
          <w:color w:val="000000"/>
          <w:lang w:val="lv-LV"/>
        </w:rPr>
        <w:t xml:space="preserve"> </w:t>
      </w:r>
      <w:r w:rsidRPr="00832AE6">
        <w:rPr>
          <w:rFonts w:ascii="Times New Roman" w:hAnsi="Times New Roman" w:cs="Times New Roman"/>
          <w:color w:val="000000"/>
          <w:lang w:val="lv-LV"/>
        </w:rPr>
        <w:t>pietiekami kvalificēt</w:t>
      </w:r>
      <w:r w:rsidR="000414EB">
        <w:rPr>
          <w:rFonts w:ascii="Times New Roman" w:hAnsi="Times New Roman" w:cs="Times New Roman"/>
          <w:color w:val="000000"/>
          <w:lang w:val="lv-LV"/>
        </w:rPr>
        <w:t>a</w:t>
      </w:r>
      <w:r w:rsidRPr="00832AE6">
        <w:rPr>
          <w:rFonts w:ascii="Times New Roman" w:hAnsi="Times New Roman" w:cs="Times New Roman"/>
          <w:color w:val="000000"/>
          <w:lang w:val="lv-LV"/>
        </w:rPr>
        <w:t xml:space="preserve"> personāl</w:t>
      </w:r>
      <w:r w:rsidR="000414EB">
        <w:rPr>
          <w:rFonts w:ascii="Times New Roman" w:hAnsi="Times New Roman" w:cs="Times New Roman"/>
          <w:color w:val="000000"/>
          <w:lang w:val="lv-LV"/>
        </w:rPr>
        <w:t>a</w:t>
      </w:r>
      <w:r w:rsidRPr="00832AE6">
        <w:rPr>
          <w:rFonts w:ascii="Times New Roman" w:hAnsi="Times New Roman" w:cs="Times New Roman"/>
          <w:color w:val="000000"/>
          <w:lang w:val="lv-LV"/>
        </w:rPr>
        <w:t>, lai uzturētu savu</w:t>
      </w:r>
      <w:r>
        <w:rPr>
          <w:rFonts w:ascii="Times New Roman" w:hAnsi="Times New Roman" w:cs="Times New Roman"/>
          <w:color w:val="000000"/>
          <w:lang w:val="lv-LV"/>
        </w:rPr>
        <w:t>s IKT resursus, k</w:t>
      </w:r>
      <w:r w:rsidRPr="00832AE6">
        <w:rPr>
          <w:rFonts w:ascii="Times New Roman" w:hAnsi="Times New Roman" w:cs="Times New Roman"/>
          <w:color w:val="000000"/>
          <w:lang w:val="lv-LV"/>
        </w:rPr>
        <w:t xml:space="preserve">āda </w:t>
      </w:r>
      <w:r w:rsidR="000414EB">
        <w:rPr>
          <w:rFonts w:ascii="Times New Roman" w:hAnsi="Times New Roman" w:cs="Times New Roman"/>
          <w:color w:val="000000"/>
          <w:lang w:val="lv-LV"/>
        </w:rPr>
        <w:t>ir</w:t>
      </w:r>
      <w:r w:rsidRPr="00832AE6">
        <w:rPr>
          <w:rFonts w:ascii="Times New Roman" w:hAnsi="Times New Roman" w:cs="Times New Roman"/>
          <w:color w:val="000000"/>
          <w:lang w:val="lv-LV"/>
        </w:rPr>
        <w:t xml:space="preserve"> garantija, ka VARAM spēs nodrošināt atbilstošas kvalitātes, vajadzīgajā vietā (piemēram, misijās, krīzes situāc</w:t>
      </w:r>
      <w:r>
        <w:rPr>
          <w:rFonts w:ascii="Times New Roman" w:hAnsi="Times New Roman" w:cs="Times New Roman"/>
          <w:color w:val="000000"/>
          <w:lang w:val="lv-LV"/>
        </w:rPr>
        <w:t>ijās u</w:t>
      </w:r>
      <w:r w:rsidR="00F00766">
        <w:rPr>
          <w:rFonts w:ascii="Times New Roman" w:hAnsi="Times New Roman" w:cs="Times New Roman"/>
          <w:color w:val="000000"/>
          <w:lang w:val="lv-LV"/>
        </w:rPr>
        <w:t>. </w:t>
      </w:r>
      <w:r>
        <w:rPr>
          <w:rFonts w:ascii="Times New Roman" w:hAnsi="Times New Roman" w:cs="Times New Roman"/>
          <w:color w:val="000000"/>
          <w:lang w:val="lv-LV"/>
        </w:rPr>
        <w:t>tml,) un atbilstošā laikā</w:t>
      </w:r>
      <w:r w:rsidRPr="00832AE6">
        <w:rPr>
          <w:rFonts w:ascii="Times New Roman" w:hAnsi="Times New Roman" w:cs="Times New Roman"/>
          <w:color w:val="000000"/>
          <w:lang w:val="lv-LV"/>
        </w:rPr>
        <w:t xml:space="preserve"> nepieciešamo</w:t>
      </w:r>
      <w:r>
        <w:rPr>
          <w:rFonts w:ascii="Times New Roman" w:hAnsi="Times New Roman" w:cs="Times New Roman"/>
          <w:color w:val="000000"/>
          <w:lang w:val="lv-LV"/>
        </w:rPr>
        <w:t>s IKT servisus un pakalpojumus</w:t>
      </w:r>
      <w:r w:rsidR="00F00766">
        <w:rPr>
          <w:rFonts w:ascii="Times New Roman" w:hAnsi="Times New Roman" w:cs="Times New Roman"/>
          <w:color w:val="000000"/>
          <w:lang w:val="lv-LV"/>
        </w:rPr>
        <w:t>?</w:t>
      </w:r>
      <w:r>
        <w:rPr>
          <w:rFonts w:ascii="Times New Roman" w:hAnsi="Times New Roman" w:cs="Times New Roman"/>
          <w:color w:val="000000"/>
          <w:lang w:val="lv-LV"/>
        </w:rPr>
        <w:t xml:space="preserve"> Piemēram, </w:t>
      </w:r>
      <w:r>
        <w:rPr>
          <w:rFonts w:cs="Times New Roman"/>
          <w:color w:val="000000"/>
          <w:lang w:val="lv-LV"/>
        </w:rPr>
        <w:t>VARAM i</w:t>
      </w:r>
      <w:r w:rsidRPr="00832AE6">
        <w:rPr>
          <w:rFonts w:cs="Times New Roman"/>
          <w:color w:val="000000"/>
          <w:lang w:val="lv-LV"/>
        </w:rPr>
        <w:t>nformatīvais ziņojums “Par cilvēkresursu nodrošin</w:t>
      </w:r>
      <w:r w:rsidRPr="00832AE6">
        <w:rPr>
          <w:rFonts w:cs="Times New Roman"/>
          <w:color w:val="000000"/>
          <w:lang w:val="lv-LV"/>
        </w:rPr>
        <w:t>āšanu valsts informācijas un komunikācijas tehnoloģiju platformu uzturēšanai” liecina</w:t>
      </w:r>
      <w:r>
        <w:rPr>
          <w:rFonts w:cs="Times New Roman"/>
          <w:color w:val="000000"/>
          <w:lang w:val="lv-LV"/>
        </w:rPr>
        <w:t xml:space="preserve"> par to, </w:t>
      </w:r>
      <w:r w:rsidRPr="00832AE6">
        <w:rPr>
          <w:rFonts w:cs="Times New Roman"/>
          <w:color w:val="000000"/>
          <w:lang w:val="lv-LV"/>
        </w:rPr>
        <w:t xml:space="preserve">ka jau šobrīd </w:t>
      </w:r>
      <w:r w:rsidRPr="00313C2B">
        <w:rPr>
          <w:rFonts w:ascii="Times New Roman" w:hAnsi="Times New Roman" w:cs="Times New Roman"/>
          <w:lang w:val="lv-LV"/>
        </w:rPr>
        <w:t>Valsts reģionālās attīstības aģentūras</w:t>
      </w:r>
      <w:r w:rsidRPr="00832AE6">
        <w:rPr>
          <w:rFonts w:cs="Times New Roman"/>
          <w:color w:val="000000"/>
          <w:lang w:val="lv-LV"/>
        </w:rPr>
        <w:t xml:space="preserve"> uzturētajām platformām trūkst kvalificēt</w:t>
      </w:r>
      <w:r w:rsidR="00F00766">
        <w:rPr>
          <w:rFonts w:cs="Times New Roman"/>
          <w:color w:val="000000"/>
          <w:lang w:val="lv-LV"/>
        </w:rPr>
        <w:t>a</w:t>
      </w:r>
      <w:r w:rsidRPr="00832AE6">
        <w:rPr>
          <w:rFonts w:cs="Times New Roman"/>
          <w:color w:val="000000"/>
          <w:lang w:val="lv-LV"/>
        </w:rPr>
        <w:t xml:space="preserve"> IKT personāl</w:t>
      </w:r>
      <w:r w:rsidR="00F00766">
        <w:rPr>
          <w:rFonts w:cs="Times New Roman"/>
          <w:color w:val="000000"/>
          <w:lang w:val="lv-LV"/>
        </w:rPr>
        <w:t>a</w:t>
      </w:r>
      <w:r w:rsidRPr="00832AE6">
        <w:rPr>
          <w:rFonts w:cs="Times New Roman"/>
          <w:color w:val="000000"/>
          <w:lang w:val="lv-LV"/>
        </w:rPr>
        <w:t>.</w:t>
      </w:r>
    </w:p>
    <w:p w:rsidR="006C699C" w:rsidRDefault="006C699C" w:rsidP="006A6738">
      <w:pPr>
        <w:pStyle w:val="ListParagraph"/>
        <w:spacing w:after="0" w:line="240" w:lineRule="auto"/>
      </w:pPr>
    </w:p>
    <w:p w:rsidR="004579AB" w:rsidRDefault="003C64F8" w:rsidP="006A6738">
      <w:pPr>
        <w:pStyle w:val="ListParagraph"/>
        <w:numPr>
          <w:ilvl w:val="0"/>
          <w:numId w:val="13"/>
        </w:numPr>
        <w:spacing w:after="0" w:line="240" w:lineRule="auto"/>
        <w:jc w:val="both"/>
      </w:pPr>
      <w:r w:rsidRPr="00064FEC">
        <w:t>Informatīvais ziņojums attiecas uz ministrijām, ats</w:t>
      </w:r>
      <w:r w:rsidRPr="00064FEC">
        <w:t>tājot nerisinātu jautājumu par IKT pārvaldību valsts pārvaldes daļā, kas ir ārpus ministriju</w:t>
      </w:r>
      <w:r w:rsidR="00F00766">
        <w:t> </w:t>
      </w:r>
      <w:r w:rsidRPr="00064FEC">
        <w:t>/</w:t>
      </w:r>
      <w:r w:rsidR="00F00766">
        <w:t> </w:t>
      </w:r>
      <w:r w:rsidRPr="00064FEC">
        <w:t xml:space="preserve">nozaru tvēruma, piemēram, institūcijas, kas ir Ministru prezidenta pārraudzībā. </w:t>
      </w:r>
    </w:p>
    <w:p w:rsidR="006A6738" w:rsidRDefault="006A6738" w:rsidP="006A6738">
      <w:pPr>
        <w:spacing w:after="0" w:line="240" w:lineRule="auto"/>
        <w:jc w:val="both"/>
      </w:pPr>
    </w:p>
    <w:p w:rsidR="004579AB" w:rsidRPr="000E4470" w:rsidRDefault="003C64F8" w:rsidP="006A6738">
      <w:pPr>
        <w:spacing w:after="0" w:line="240" w:lineRule="auto"/>
        <w:ind w:firstLine="720"/>
        <w:jc w:val="both"/>
      </w:pPr>
      <w:r>
        <w:t xml:space="preserve">Vides aizsardzības un reģionālās attīstības ministrijas </w:t>
      </w:r>
      <w:r w:rsidRPr="000E4470">
        <w:t xml:space="preserve">informatīvajā ziņojumā </w:t>
      </w:r>
      <w:r w:rsidRPr="000E4470">
        <w:t>izvirzītie priekšlikumi nerada pārliecību, ka tie ir piemēroti aizsardzības nozares specifiskajām drošības prasībām. Nav ņemtas vērā arī Valsts kontroles revīzijas ziņojumā identificētās nepilnības un veikti pasākumi to novēršanai. VARAM piedāvātās IKT pār</w:t>
      </w:r>
      <w:r w:rsidRPr="000E4470">
        <w:t>valdības jomas reformas kontekstā Valsts kontroles revīzijas ziņojums vērtējams kā pamatojums tālāka</w:t>
      </w:r>
      <w:r w:rsidR="006A6738">
        <w:t>i</w:t>
      </w:r>
      <w:r w:rsidRPr="000E4470">
        <w:t xml:space="preserve"> izpēte</w:t>
      </w:r>
      <w:r w:rsidR="006A6738">
        <w:t xml:space="preserve">i, </w:t>
      </w:r>
      <w:r w:rsidRPr="000E4470">
        <w:t>nevis kā viennozīmīgs</w:t>
      </w:r>
      <w:r w:rsidR="006A6738">
        <w:t>,</w:t>
      </w:r>
      <w:r w:rsidRPr="000E4470">
        <w:t xml:space="preserve"> aktuālo situāciju raks</w:t>
      </w:r>
      <w:r w:rsidR="004D1E78">
        <w:t>turojošs dokuments, kas piemērojam</w:t>
      </w:r>
      <w:r w:rsidRPr="000E4470">
        <w:t>s pierādījumos balstītas rīcībpolitikas veidošanai.</w:t>
      </w:r>
    </w:p>
    <w:p w:rsidR="004579AB" w:rsidRPr="00064FEC" w:rsidRDefault="003C64F8" w:rsidP="006A6738">
      <w:pPr>
        <w:spacing w:after="0" w:line="240" w:lineRule="auto"/>
        <w:ind w:firstLine="720"/>
        <w:jc w:val="both"/>
      </w:pPr>
      <w:r w:rsidRPr="00064FEC">
        <w:t>Aizsardzības m</w:t>
      </w:r>
      <w:r w:rsidRPr="00064FEC">
        <w:t xml:space="preserve">inistrija ir ieinteresēta piedalīties priekšlikumu izstrādē par koplietošanas pakalpojumu pārvaldību, </w:t>
      </w:r>
      <w:r w:rsidR="006A6738">
        <w:t xml:space="preserve">tādēļ </w:t>
      </w:r>
      <w:r w:rsidR="000414EB">
        <w:t xml:space="preserve">lūdzam </w:t>
      </w:r>
      <w:r w:rsidRPr="00064FEC">
        <w:t>papildināt protokollēmuma projekta 5.</w:t>
      </w:r>
      <w:r w:rsidR="000414EB">
        <w:t> </w:t>
      </w:r>
      <w:r w:rsidRPr="00064FEC">
        <w:t xml:space="preserve">punktu ar norādi uz Aizsardzības ministriju. </w:t>
      </w:r>
    </w:p>
    <w:p w:rsidR="001869C5" w:rsidRDefault="001869C5" w:rsidP="006A6738">
      <w:pPr>
        <w:spacing w:after="0" w:line="240" w:lineRule="auto"/>
        <w:jc w:val="both"/>
      </w:pPr>
    </w:p>
    <w:p w:rsidR="009C7916" w:rsidRDefault="009C7916" w:rsidP="006A6738">
      <w:pPr>
        <w:spacing w:after="0" w:line="240" w:lineRule="auto"/>
        <w:jc w:val="both"/>
      </w:pPr>
    </w:p>
    <w:p w:rsidR="00C76BD6" w:rsidRDefault="00C76BD6" w:rsidP="006A6738">
      <w:pPr>
        <w:tabs>
          <w:tab w:val="left" w:pos="6663"/>
        </w:tabs>
        <w:spacing w:after="0" w:line="240" w:lineRule="auto"/>
        <w:jc w:val="both"/>
      </w:pPr>
    </w:p>
    <w:p w:rsidR="001869C5" w:rsidRPr="00BB41F3" w:rsidRDefault="003C64F8" w:rsidP="006A6738">
      <w:pPr>
        <w:tabs>
          <w:tab w:val="left" w:pos="6663"/>
        </w:tabs>
        <w:spacing w:after="0" w:line="240" w:lineRule="auto"/>
        <w:jc w:val="both"/>
      </w:pPr>
      <w:r w:rsidRPr="00BB41F3">
        <w:rPr>
          <w:noProof/>
        </w:rPr>
        <w:t>Valsts sekretārs</w:t>
      </w:r>
      <w:r w:rsidRPr="00BB41F3">
        <w:tab/>
        <w:t xml:space="preserve">                   </w:t>
      </w:r>
      <w:r w:rsidRPr="00BB41F3">
        <w:rPr>
          <w:noProof/>
        </w:rPr>
        <w:t>Jānis Garisons</w:t>
      </w:r>
    </w:p>
    <w:p w:rsidR="006A6738" w:rsidRDefault="006A6738" w:rsidP="006A6738">
      <w:pPr>
        <w:spacing w:after="0" w:line="240" w:lineRule="auto"/>
        <w:jc w:val="both"/>
        <w:rPr>
          <w:noProof/>
          <w:sz w:val="16"/>
          <w:szCs w:val="16"/>
        </w:rPr>
      </w:pPr>
    </w:p>
    <w:p w:rsidR="006A6738" w:rsidRDefault="006A6738" w:rsidP="006A6738">
      <w:pPr>
        <w:spacing w:after="0" w:line="240" w:lineRule="auto"/>
        <w:jc w:val="both"/>
        <w:rPr>
          <w:noProof/>
          <w:sz w:val="16"/>
          <w:szCs w:val="16"/>
        </w:rPr>
      </w:pPr>
    </w:p>
    <w:p w:rsidR="006A6738" w:rsidRDefault="006A6738" w:rsidP="006A6738">
      <w:pPr>
        <w:spacing w:after="0" w:line="240" w:lineRule="auto"/>
        <w:jc w:val="both"/>
        <w:rPr>
          <w:noProof/>
          <w:sz w:val="16"/>
          <w:szCs w:val="16"/>
        </w:rPr>
      </w:pPr>
    </w:p>
    <w:p w:rsidR="006A6738" w:rsidRDefault="006A6738" w:rsidP="006A6738">
      <w:pPr>
        <w:spacing w:after="0" w:line="240" w:lineRule="auto"/>
        <w:jc w:val="both"/>
        <w:rPr>
          <w:noProof/>
          <w:sz w:val="16"/>
          <w:szCs w:val="16"/>
        </w:rPr>
      </w:pPr>
    </w:p>
    <w:p w:rsidR="001869C5" w:rsidRDefault="003C64F8" w:rsidP="006A6738">
      <w:pPr>
        <w:spacing w:after="0" w:line="240" w:lineRule="auto"/>
        <w:jc w:val="both"/>
        <w:rPr>
          <w:sz w:val="16"/>
          <w:szCs w:val="16"/>
        </w:rPr>
      </w:pPr>
      <w:r>
        <w:rPr>
          <w:noProof/>
          <w:sz w:val="16"/>
          <w:szCs w:val="16"/>
        </w:rPr>
        <w:t>Ainārs Krastiņš</w:t>
      </w:r>
      <w:r>
        <w:rPr>
          <w:sz w:val="16"/>
          <w:szCs w:val="16"/>
        </w:rPr>
        <w:t xml:space="preserve">, </w:t>
      </w:r>
      <w:r>
        <w:rPr>
          <w:noProof/>
          <w:sz w:val="16"/>
          <w:szCs w:val="16"/>
        </w:rPr>
        <w:t>67335142</w:t>
      </w:r>
    </w:p>
    <w:p w:rsidR="009C7916" w:rsidRPr="009C7916" w:rsidRDefault="003C64F8" w:rsidP="006A6738">
      <w:pPr>
        <w:spacing w:after="0" w:line="240" w:lineRule="auto"/>
        <w:jc w:val="both"/>
        <w:rPr>
          <w:sz w:val="16"/>
          <w:szCs w:val="16"/>
        </w:rPr>
      </w:pPr>
      <w:r>
        <w:rPr>
          <w:noProof/>
          <w:sz w:val="16"/>
          <w:szCs w:val="16"/>
        </w:rPr>
        <w:t>Ainars.Krastins</w:t>
      </w:r>
      <w:r w:rsidR="001C3E8B">
        <w:rPr>
          <w:noProof/>
          <w:sz w:val="16"/>
          <w:szCs w:val="16"/>
        </w:rPr>
        <w:t>@mod.gov.lv</w:t>
      </w:r>
    </w:p>
    <w:sectPr w:rsidR="009C7916" w:rsidRPr="009C7916" w:rsidSect="007A5215">
      <w:footerReference w:type="default" r:id="rId9"/>
      <w:headerReference w:type="first" r:id="rId10"/>
      <w:footerReference w:type="first" r:id="rId11"/>
      <w:type w:val="continuous"/>
      <w:pgSz w:w="11920" w:h="16840"/>
      <w:pgMar w:top="1134" w:right="851" w:bottom="1134" w:left="1701"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4F8" w:rsidRDefault="003C64F8">
      <w:pPr>
        <w:spacing w:after="0" w:line="240" w:lineRule="auto"/>
      </w:pPr>
      <w:r>
        <w:separator/>
      </w:r>
    </w:p>
  </w:endnote>
  <w:endnote w:type="continuationSeparator" w:id="0">
    <w:p w:rsidR="003C64F8" w:rsidRDefault="003C64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Liberation Serif">
    <w:altName w:val="Times New Roman"/>
    <w:charset w:val="00"/>
    <w:family w:val="roman"/>
    <w:pitch w:val="variable"/>
  </w:font>
  <w:font w:name="Noto Sans CJK SC">
    <w:charset w:val="00"/>
    <w:family w:val="auto"/>
    <w:pitch w:val="variable"/>
  </w:font>
  <w:font w:name="Lohit Devanagari">
    <w:altName w:val="Times New Roman"/>
    <w:charset w:val="00"/>
    <w:family w:val="auto"/>
    <w:pitch w:val="variable"/>
  </w:font>
  <w:font w:name="TimesNewRomanPS-ItalicMT">
    <w:altName w:val="Times New Roman"/>
    <w:charset w:val="00"/>
    <w:family w:val="auto"/>
    <w:pitch w:val="default"/>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514293"/>
      <w:docPartObj>
        <w:docPartGallery w:val="Page Numbers (Bottom of Page)"/>
        <w:docPartUnique/>
      </w:docPartObj>
    </w:sdtPr>
    <w:sdtEndPr>
      <w:rPr>
        <w:rFonts w:ascii="Times New Roman" w:hAnsi="Times New Roman"/>
        <w:sz w:val="24"/>
        <w:szCs w:val="24"/>
      </w:rPr>
    </w:sdtEndPr>
    <w:sdtContent>
      <w:sdt>
        <w:sdtPr>
          <w:id w:val="1088844024"/>
          <w:docPartObj>
            <w:docPartGallery w:val="Page Numbers (Top of Page)"/>
            <w:docPartUnique/>
          </w:docPartObj>
        </w:sdtPr>
        <w:sdtEndPr>
          <w:rPr>
            <w:rFonts w:ascii="Times New Roman" w:hAnsi="Times New Roman"/>
            <w:sz w:val="24"/>
            <w:szCs w:val="24"/>
          </w:rPr>
        </w:sdtEndPr>
        <w:sdtContent>
          <w:p w:rsidR="00BB41F3" w:rsidRDefault="003C64F8" w:rsidP="009C7916">
            <w:pPr>
              <w:pStyle w:val="Footer"/>
              <w:jc w:val="center"/>
              <w:rPr>
                <w:rFonts w:ascii="TimesNewRomanPS-ItalicMT" w:hAnsi="TimesNewRomanPS-ItalicMT"/>
                <w:iCs/>
                <w:sz w:val="20"/>
                <w:szCs w:val="20"/>
              </w:rPr>
            </w:pPr>
            <w:r w:rsidRPr="002D7FAB">
              <w:rPr>
                <w:rFonts w:ascii="TimesNewRomanPS-ItalicMT" w:hAnsi="TimesNewRomanPS-ItalicMT"/>
                <w:iCs/>
                <w:sz w:val="20"/>
                <w:szCs w:val="20"/>
              </w:rPr>
              <w:t>DOKUMENTS IR ELEKTRONISKI PARAKSTĪTS AR DROŠU ELEKTRONISKO PARAKSTU UN SATUR LAIKA ZĪMOGU</w:t>
            </w:r>
          </w:p>
          <w:p w:rsidR="00E03AF4" w:rsidRDefault="00E03AF4" w:rsidP="009C7916">
            <w:pPr>
              <w:pStyle w:val="Footer"/>
              <w:jc w:val="center"/>
              <w:rPr>
                <w:rFonts w:ascii="TimesNewRomanPS-ItalicMT" w:hAnsi="TimesNewRomanPS-ItalicMT"/>
                <w:iCs/>
                <w:sz w:val="20"/>
                <w:szCs w:val="20"/>
              </w:rPr>
            </w:pPr>
          </w:p>
          <w:p w:rsidR="00E03AF4" w:rsidRDefault="00E03AF4" w:rsidP="00E03AF4">
            <w:pPr>
              <w:pStyle w:val="Footer"/>
              <w:jc w:val="both"/>
            </w:pPr>
            <w:r>
              <w:rPr>
                <w:rFonts w:ascii="TimesNewRomanPS-ItalicMT" w:hAnsi="TimesNewRomanPS-ItalicMT"/>
                <w:iCs/>
                <w:sz w:val="20"/>
                <w:szCs w:val="20"/>
              </w:rPr>
              <w:t>AiMAtz_VSS-356_18052020</w:t>
            </w:r>
          </w:p>
          <w:p w:rsidR="00E03AF4" w:rsidRDefault="00E03AF4" w:rsidP="009C7916">
            <w:pPr>
              <w:pStyle w:val="Footer"/>
              <w:jc w:val="center"/>
            </w:pPr>
          </w:p>
          <w:p w:rsidR="00BB41F3" w:rsidRPr="009C7916" w:rsidRDefault="003C64F8" w:rsidP="009C7916">
            <w:pPr>
              <w:pStyle w:val="Footer"/>
              <w:jc w:val="right"/>
              <w:rPr>
                <w:rFonts w:ascii="Times New Roman" w:hAnsi="Times New Roman"/>
                <w:sz w:val="24"/>
                <w:szCs w:val="24"/>
              </w:rPr>
            </w:pPr>
            <w:r w:rsidRPr="009C7916">
              <w:rPr>
                <w:rFonts w:ascii="Times New Roman" w:hAnsi="Times New Roman"/>
                <w:bCs/>
                <w:sz w:val="24"/>
                <w:szCs w:val="24"/>
              </w:rPr>
              <w:fldChar w:fldCharType="begin"/>
            </w:r>
            <w:r w:rsidRPr="009C7916">
              <w:rPr>
                <w:rFonts w:ascii="Times New Roman" w:hAnsi="Times New Roman"/>
                <w:bCs/>
                <w:sz w:val="24"/>
                <w:szCs w:val="24"/>
              </w:rPr>
              <w:instrText xml:space="preserve"> PAGE </w:instrText>
            </w:r>
            <w:r w:rsidRPr="009C7916">
              <w:rPr>
                <w:rFonts w:ascii="Times New Roman" w:hAnsi="Times New Roman"/>
                <w:bCs/>
                <w:sz w:val="24"/>
                <w:szCs w:val="24"/>
              </w:rPr>
              <w:fldChar w:fldCharType="separate"/>
            </w:r>
            <w:r w:rsidR="00E03AF4">
              <w:rPr>
                <w:rFonts w:ascii="Times New Roman" w:hAnsi="Times New Roman"/>
                <w:bCs/>
                <w:noProof/>
                <w:sz w:val="24"/>
                <w:szCs w:val="24"/>
              </w:rPr>
              <w:t>4</w:t>
            </w:r>
            <w:r w:rsidRPr="009C7916">
              <w:rPr>
                <w:rFonts w:ascii="Times New Roman" w:hAnsi="Times New Roman"/>
                <w:bCs/>
                <w:sz w:val="24"/>
                <w:szCs w:val="24"/>
              </w:rPr>
              <w:fldChar w:fldCharType="end"/>
            </w:r>
            <w:r w:rsidRPr="009C7916">
              <w:rPr>
                <w:rFonts w:ascii="Times New Roman" w:hAnsi="Times New Roman"/>
                <w:sz w:val="24"/>
                <w:szCs w:val="24"/>
              </w:rPr>
              <w:t xml:space="preserve"> - </w:t>
            </w:r>
            <w:r w:rsidRPr="009C7916">
              <w:rPr>
                <w:rFonts w:ascii="Times New Roman" w:hAnsi="Times New Roman"/>
                <w:bCs/>
                <w:sz w:val="24"/>
                <w:szCs w:val="24"/>
              </w:rPr>
              <w:fldChar w:fldCharType="begin"/>
            </w:r>
            <w:r w:rsidRPr="009C7916">
              <w:rPr>
                <w:rFonts w:ascii="Times New Roman" w:hAnsi="Times New Roman"/>
                <w:bCs/>
                <w:sz w:val="24"/>
                <w:szCs w:val="24"/>
              </w:rPr>
              <w:instrText xml:space="preserve"> NUMPAGES  </w:instrText>
            </w:r>
            <w:r w:rsidRPr="009C7916">
              <w:rPr>
                <w:rFonts w:ascii="Times New Roman" w:hAnsi="Times New Roman"/>
                <w:bCs/>
                <w:sz w:val="24"/>
                <w:szCs w:val="24"/>
              </w:rPr>
              <w:fldChar w:fldCharType="separate"/>
            </w:r>
            <w:r w:rsidR="00E03AF4">
              <w:rPr>
                <w:rFonts w:ascii="Times New Roman" w:hAnsi="Times New Roman"/>
                <w:bCs/>
                <w:noProof/>
                <w:sz w:val="24"/>
                <w:szCs w:val="24"/>
              </w:rPr>
              <w:t>4</w:t>
            </w:r>
            <w:r w:rsidRPr="009C7916">
              <w:rPr>
                <w:rFonts w:ascii="Times New Roman" w:hAnsi="Times New Roman"/>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1F3" w:rsidRDefault="003C64F8" w:rsidP="004B660D">
    <w:pPr>
      <w:pStyle w:val="Footer"/>
      <w:jc w:val="center"/>
      <w:rPr>
        <w:rFonts w:ascii="TimesNewRomanPS-ItalicMT" w:hAnsi="TimesNewRomanPS-ItalicMT"/>
        <w:iCs/>
        <w:sz w:val="20"/>
        <w:szCs w:val="20"/>
      </w:rPr>
    </w:pPr>
    <w:r w:rsidRPr="002D7FAB">
      <w:rPr>
        <w:rFonts w:ascii="TimesNewRomanPS-ItalicMT" w:hAnsi="TimesNewRomanPS-ItalicMT"/>
        <w:iCs/>
        <w:sz w:val="20"/>
        <w:szCs w:val="20"/>
      </w:rPr>
      <w:t xml:space="preserve">DOKUMENTS IR ELEKTRONISKI PARAKSTĪTS AR DROŠU </w:t>
    </w:r>
    <w:r w:rsidRPr="002D7FAB">
      <w:rPr>
        <w:rFonts w:ascii="TimesNewRomanPS-ItalicMT" w:hAnsi="TimesNewRomanPS-ItalicMT"/>
        <w:iCs/>
        <w:sz w:val="20"/>
        <w:szCs w:val="20"/>
      </w:rPr>
      <w:t>ELEKTRONISKO PARAKSTU UN SATUR LAIKA ZĪMOGU</w:t>
    </w:r>
  </w:p>
  <w:p w:rsidR="00E03AF4" w:rsidRDefault="00E03AF4" w:rsidP="004B660D">
    <w:pPr>
      <w:pStyle w:val="Footer"/>
      <w:jc w:val="center"/>
      <w:rPr>
        <w:rFonts w:ascii="TimesNewRomanPS-ItalicMT" w:hAnsi="TimesNewRomanPS-ItalicMT"/>
        <w:iCs/>
        <w:sz w:val="20"/>
        <w:szCs w:val="20"/>
      </w:rPr>
    </w:pPr>
  </w:p>
  <w:p w:rsidR="00E03AF4" w:rsidRDefault="00E03AF4" w:rsidP="00E03AF4">
    <w:pPr>
      <w:pStyle w:val="Footer"/>
      <w:jc w:val="both"/>
    </w:pPr>
    <w:r>
      <w:rPr>
        <w:rFonts w:ascii="TimesNewRomanPS-ItalicMT" w:hAnsi="TimesNewRomanPS-ItalicMT"/>
        <w:iCs/>
        <w:sz w:val="20"/>
        <w:szCs w:val="20"/>
      </w:rPr>
      <w:t>AiMAtz_VSS-356_18052020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4F8" w:rsidRDefault="003C64F8">
      <w:pPr>
        <w:spacing w:after="0" w:line="240" w:lineRule="auto"/>
      </w:pPr>
      <w:r>
        <w:separator/>
      </w:r>
    </w:p>
  </w:footnote>
  <w:footnote w:type="continuationSeparator" w:id="0">
    <w:p w:rsidR="003C64F8" w:rsidRDefault="003C64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1F3" w:rsidRDefault="00BB41F3" w:rsidP="00A12BE8">
    <w:pPr>
      <w:pStyle w:val="Header"/>
      <w:tabs>
        <w:tab w:val="clear" w:pos="4320"/>
        <w:tab w:val="clear" w:pos="8640"/>
      </w:tabs>
      <w:rPr>
        <w:rFonts w:ascii="Times New Roman" w:hAnsi="Times New Roman"/>
      </w:rPr>
    </w:pPr>
  </w:p>
  <w:p w:rsidR="00BB41F3" w:rsidRDefault="003C64F8" w:rsidP="002356BE">
    <w:pPr>
      <w:pStyle w:val="Header"/>
      <w:tabs>
        <w:tab w:val="clear" w:pos="4320"/>
        <w:tab w:val="clear" w:pos="8640"/>
      </w:tabs>
      <w:rPr>
        <w:rFonts w:ascii="Times New Roman" w:hAnsi="Times New Roman"/>
      </w:rPr>
    </w:pPr>
    <w:r>
      <w:rPr>
        <w:noProof/>
        <w:lang w:val="lv-LV" w:eastAsia="lv-LV"/>
      </w:rPr>
      <w:drawing>
        <wp:anchor distT="0" distB="0" distL="114300" distR="114300" simplePos="0" relativeHeight="251658240" behindDoc="1" locked="0" layoutInCell="1" allowOverlap="1" wp14:anchorId="4ECCF2D9" wp14:editId="278D47B3">
          <wp:simplePos x="0" y="0"/>
          <wp:positionH relativeFrom="margin">
            <wp:align>center</wp:align>
          </wp:positionH>
          <wp:positionV relativeFrom="page">
            <wp:posOffset>606425</wp:posOffset>
          </wp:positionV>
          <wp:extent cx="5961600" cy="1087200"/>
          <wp:effectExtent l="0" t="0" r="0" b="0"/>
          <wp:wrapNone/>
          <wp:docPr id="5"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51264" name="Picture 40"/>
                  <pic:cNvPicPr>
                    <a:picLocks noChangeAspect="1" noChangeArrowheads="1"/>
                  </pic:cNvPicPr>
                </pic:nvPicPr>
                <pic:blipFill>
                  <a:blip r:embed="rId1">
                    <a:clrChange>
                      <a:clrFrom>
                        <a:srgbClr val="FFFFFE"/>
                      </a:clrFrom>
                      <a:clrTo>
                        <a:srgbClr val="FFFFFE">
                          <a:alpha val="0"/>
                        </a:srgbClr>
                      </a:clrTo>
                    </a:clrChange>
                    <a:extLst>
                      <a:ext uri="{28A0092B-C50C-407E-A947-70E740481C1C}">
                        <a14:useLocalDpi xmlns:a14="http://schemas.microsoft.com/office/drawing/2010/main" val="0"/>
                      </a:ext>
                    </a:extLst>
                  </a:blip>
                  <a:stretch>
                    <a:fillRect/>
                  </a:stretch>
                </pic:blipFill>
                <pic:spPr bwMode="auto">
                  <a:xfrm>
                    <a:off x="0" y="0"/>
                    <a:ext cx="5961600" cy="1087200"/>
                  </a:xfrm>
                  <a:prstGeom prst="rect">
                    <a:avLst/>
                  </a:prstGeom>
                  <a:noFill/>
                  <a:ln>
                    <a:noFill/>
                  </a:ln>
                </pic:spPr>
              </pic:pic>
            </a:graphicData>
          </a:graphic>
          <wp14:sizeRelH relativeFrom="page">
            <wp14:pctWidth>0</wp14:pctWidth>
          </wp14:sizeRelH>
          <wp14:sizeRelV relativeFrom="margin">
            <wp14:pctHeight>0</wp14:pctHeight>
          </wp14:sizeRelV>
        </wp:anchor>
      </w:drawing>
    </w:r>
  </w:p>
  <w:p w:rsidR="00BB41F3" w:rsidRDefault="00BB41F3" w:rsidP="007A5215">
    <w:pPr>
      <w:pStyle w:val="Header"/>
      <w:rPr>
        <w:rFonts w:ascii="Times New Roman" w:hAnsi="Times New Roman"/>
      </w:rPr>
    </w:pPr>
  </w:p>
  <w:p w:rsidR="00BB41F3" w:rsidRDefault="00BB41F3" w:rsidP="007A5215">
    <w:pPr>
      <w:pStyle w:val="Header"/>
      <w:rPr>
        <w:rFonts w:ascii="Times New Roman" w:hAnsi="Times New Roman"/>
      </w:rPr>
    </w:pPr>
  </w:p>
  <w:p w:rsidR="00BB41F3" w:rsidRDefault="00BB41F3" w:rsidP="007A5215">
    <w:pPr>
      <w:pStyle w:val="Header"/>
      <w:rPr>
        <w:rFonts w:ascii="Times New Roman" w:hAnsi="Times New Roman"/>
      </w:rPr>
    </w:pPr>
  </w:p>
  <w:p w:rsidR="00BB41F3" w:rsidRDefault="00BB41F3" w:rsidP="007A5215">
    <w:pPr>
      <w:pStyle w:val="Header"/>
      <w:rPr>
        <w:rFonts w:ascii="Times New Roman" w:hAnsi="Times New Roman"/>
      </w:rPr>
    </w:pPr>
  </w:p>
  <w:p w:rsidR="00BB41F3" w:rsidRDefault="00BB41F3" w:rsidP="007A5215">
    <w:pPr>
      <w:pStyle w:val="Header"/>
      <w:rPr>
        <w:rFonts w:ascii="Times New Roman" w:hAnsi="Times New Roman"/>
      </w:rPr>
    </w:pPr>
  </w:p>
  <w:p w:rsidR="00BB41F3" w:rsidRDefault="00BB41F3" w:rsidP="007A5215">
    <w:pPr>
      <w:pStyle w:val="Header"/>
      <w:rPr>
        <w:rFonts w:ascii="Times New Roman" w:hAnsi="Times New Roman"/>
      </w:rPr>
    </w:pPr>
  </w:p>
  <w:p w:rsidR="00BB41F3" w:rsidRDefault="003C64F8" w:rsidP="007A5215">
    <w:pPr>
      <w:pStyle w:val="Header"/>
      <w:rPr>
        <w:rFonts w:ascii="Times New Roman" w:hAnsi="Times New Roman"/>
      </w:rPr>
    </w:pPr>
    <w:r>
      <w:rPr>
        <w:noProof/>
        <w:lang w:val="lv-LV" w:eastAsia="lv-LV"/>
      </w:rPr>
      <mc:AlternateContent>
        <mc:Choice Requires="wpg">
          <w:drawing>
            <wp:anchor distT="0" distB="0" distL="114300" distR="114300" simplePos="0" relativeHeight="251659264" behindDoc="1" locked="0" layoutInCell="1" allowOverlap="1" wp14:anchorId="720461D6" wp14:editId="2D2A3758">
              <wp:simplePos x="0" y="0"/>
              <wp:positionH relativeFrom="page">
                <wp:posOffset>1850390</wp:posOffset>
              </wp:positionH>
              <wp:positionV relativeFrom="page">
                <wp:posOffset>1837055</wp:posOffset>
              </wp:positionV>
              <wp:extent cx="4397375" cy="1270"/>
              <wp:effectExtent l="0" t="0" r="22225" b="17780"/>
              <wp:wrapNone/>
              <wp:docPr id="1" name="Group 41"/>
              <wp:cNvGraphicFramePr/>
              <a:graphic xmlns:a="http://schemas.openxmlformats.org/drawingml/2006/main">
                <a:graphicData uri="http://schemas.microsoft.com/office/word/2010/wordprocessingGroup">
                  <wpg:wgp>
                    <wpg:cNvGrpSpPr/>
                    <wpg:grpSpPr>
                      <a:xfrm>
                        <a:off x="0" y="0"/>
                        <a:ext cx="4397375" cy="1270"/>
                        <a:chOff x="2915" y="2998"/>
                        <a:chExt cx="6926" cy="2"/>
                      </a:xfrm>
                    </wpg:grpSpPr>
                    <wps:wsp>
                      <wps:cNvPr id="2" name="Freeform 42"/>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41" o:spid="_x0000_s2049" style="width:346.25pt;height:0.1pt;margin-top:144.65pt;margin-left:145.7pt;mso-position-horizontal-relative:page;mso-position-vertical-relative:page;position:absolute;z-index:-251656192" coordorigin="2915,2998" coordsize="6926,2">
              <v:shape id="Freeform 42" o:spid="_x0000_s2050" style="width:6926;height:2;left:2915;mso-wrap-style:square;position:absolute;top:2998;visibility:visible;v-text-anchor:top" coordsize="6926,2" path="m,l6926,e" filled="f" strokecolor="#231f20" strokeweight="0.25pt">
                <v:path arrowok="t" o:connecttype="custom" o:connectlocs="0,0;6926,0" o:connectangles="0,0"/>
              </v:shape>
            </v:group>
          </w:pict>
        </mc:Fallback>
      </mc:AlternateContent>
    </w:r>
  </w:p>
  <w:p w:rsidR="00BB41F3" w:rsidRDefault="003C64F8" w:rsidP="007A5215">
    <w:pPr>
      <w:pStyle w:val="Header"/>
      <w:rPr>
        <w:rFonts w:ascii="Times New Roman" w:hAnsi="Times New Roman"/>
      </w:rPr>
    </w:pPr>
    <w:r>
      <w:rPr>
        <w:noProof/>
        <w:lang w:val="lv-LV" w:eastAsia="lv-LV"/>
      </w:rPr>
      <mc:AlternateContent>
        <mc:Choice Requires="wps">
          <w:drawing>
            <wp:anchor distT="0" distB="0" distL="114300" distR="114300" simplePos="0" relativeHeight="251661312" behindDoc="1" locked="0" layoutInCell="1" allowOverlap="1" wp14:anchorId="4799F453" wp14:editId="783EE752">
              <wp:simplePos x="0" y="0"/>
              <wp:positionH relativeFrom="page">
                <wp:posOffset>1047750</wp:posOffset>
              </wp:positionH>
              <wp:positionV relativeFrom="page">
                <wp:posOffset>1983105</wp:posOffset>
              </wp:positionV>
              <wp:extent cx="5962650" cy="314325"/>
              <wp:effectExtent l="0" t="0" r="0" b="9525"/>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41F3" w:rsidRDefault="003C64F8" w:rsidP="007A5215">
                          <w:pPr>
                            <w:spacing w:after="0" w:line="194" w:lineRule="exact"/>
                            <w:ind w:left="20" w:right="-45"/>
                            <w:jc w:val="center"/>
                            <w:rPr>
                              <w:rFonts w:eastAsia="Times New Roman"/>
                              <w:sz w:val="17"/>
                              <w:szCs w:val="17"/>
                            </w:rPr>
                          </w:pPr>
                          <w:r w:rsidRPr="00A03A13">
                            <w:rPr>
                              <w:rFonts w:eastAsia="Times New Roman"/>
                              <w:color w:val="231F20"/>
                              <w:sz w:val="17"/>
                              <w:szCs w:val="17"/>
                            </w:rPr>
                            <w:t>K. Vald</w:t>
                          </w:r>
                          <w:r>
                            <w:rPr>
                              <w:rFonts w:eastAsia="Times New Roman"/>
                              <w:color w:val="231F20"/>
                              <w:sz w:val="17"/>
                              <w:szCs w:val="17"/>
                            </w:rPr>
                            <w:t>emāra iela 10/12, Rīga, LV-1473;</w:t>
                          </w:r>
                          <w:r w:rsidRPr="00A03A13">
                            <w:rPr>
                              <w:rFonts w:eastAsia="Times New Roman"/>
                              <w:color w:val="231F20"/>
                              <w:sz w:val="17"/>
                              <w:szCs w:val="17"/>
                            </w:rPr>
                            <w:t xml:space="preserve"> tālr.</w:t>
                          </w:r>
                          <w:r>
                            <w:rPr>
                              <w:rFonts w:eastAsia="Times New Roman"/>
                              <w:color w:val="231F20"/>
                              <w:sz w:val="17"/>
                              <w:szCs w:val="17"/>
                            </w:rPr>
                            <w:t>:</w:t>
                          </w:r>
                          <w:r w:rsidRPr="00A03A13">
                            <w:rPr>
                              <w:rFonts w:eastAsia="Times New Roman"/>
                              <w:color w:val="231F20"/>
                              <w:sz w:val="17"/>
                              <w:szCs w:val="17"/>
                            </w:rPr>
                            <w:t xml:space="preserve"> 67210124</w:t>
                          </w:r>
                          <w:r>
                            <w:rPr>
                              <w:rFonts w:eastAsia="Times New Roman"/>
                              <w:color w:val="231F20"/>
                              <w:sz w:val="17"/>
                              <w:szCs w:val="17"/>
                            </w:rPr>
                            <w:t>;</w:t>
                          </w:r>
                          <w:r w:rsidRPr="00A03A13">
                            <w:rPr>
                              <w:rFonts w:eastAsia="Times New Roman"/>
                              <w:color w:val="231F20"/>
                              <w:sz w:val="17"/>
                              <w:szCs w:val="17"/>
                            </w:rPr>
                            <w:t xml:space="preserve"> fakss</w:t>
                          </w:r>
                          <w:r>
                            <w:rPr>
                              <w:rFonts w:eastAsia="Times New Roman"/>
                              <w:color w:val="231F20"/>
                              <w:sz w:val="17"/>
                              <w:szCs w:val="17"/>
                            </w:rPr>
                            <w:t>:</w:t>
                          </w:r>
                          <w:r w:rsidRPr="00A03A13">
                            <w:rPr>
                              <w:rFonts w:eastAsia="Times New Roman"/>
                              <w:color w:val="231F20"/>
                              <w:sz w:val="17"/>
                              <w:szCs w:val="17"/>
                            </w:rPr>
                            <w:t xml:space="preserve"> 67212307</w:t>
                          </w:r>
                          <w:r>
                            <w:rPr>
                              <w:rFonts w:eastAsia="Times New Roman"/>
                              <w:color w:val="231F20"/>
                              <w:sz w:val="17"/>
                              <w:szCs w:val="17"/>
                            </w:rPr>
                            <w:t>;</w:t>
                          </w:r>
                          <w:r w:rsidRPr="00A03A13">
                            <w:rPr>
                              <w:rFonts w:eastAsia="Times New Roman"/>
                              <w:color w:val="231F20"/>
                              <w:sz w:val="17"/>
                              <w:szCs w:val="17"/>
                            </w:rPr>
                            <w:t xml:space="preserve"> e-pasts</w:t>
                          </w:r>
                          <w:r>
                            <w:rPr>
                              <w:rFonts w:eastAsia="Times New Roman"/>
                              <w:color w:val="231F20"/>
                              <w:sz w:val="17"/>
                              <w:szCs w:val="17"/>
                            </w:rPr>
                            <w:t>:</w:t>
                          </w:r>
                          <w:r w:rsidRPr="00A03A13">
                            <w:rPr>
                              <w:rFonts w:eastAsia="Times New Roman"/>
                              <w:color w:val="231F20"/>
                              <w:sz w:val="17"/>
                              <w:szCs w:val="17"/>
                            </w:rPr>
                            <w:t xml:space="preserve"> kanceleja@mod.gov.lv</w:t>
                          </w:r>
                          <w:r>
                            <w:rPr>
                              <w:rFonts w:eastAsia="Times New Roman"/>
                              <w:color w:val="231F20"/>
                              <w:sz w:val="17"/>
                              <w:szCs w:val="17"/>
                            </w:rPr>
                            <w:t>;</w:t>
                          </w:r>
                          <w:r w:rsidRPr="00A03A13">
                            <w:rPr>
                              <w:rFonts w:eastAsia="Times New Roman"/>
                              <w:color w:val="231F20"/>
                              <w:sz w:val="17"/>
                              <w:szCs w:val="17"/>
                            </w:rPr>
                            <w:t xml:space="preserve"> www.mod.gov.lv</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43" o:spid="_x0000_s2051" type="#_x0000_t202" style="width:469.5pt;height:24.75pt;margin-top:156.15pt;margin-left:82.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4144" filled="f" stroked="f">
              <v:textbox inset="0,0,0,0">
                <w:txbxContent>
                  <w:p w:rsidR="00BB41F3" w:rsidP="007A5215" w14:paraId="1BB3AC1D" w14:textId="77777777">
                    <w:pPr>
                      <w:spacing w:after="0" w:line="194" w:lineRule="exact"/>
                      <w:ind w:left="20" w:right="-45"/>
                      <w:jc w:val="center"/>
                      <w:rPr>
                        <w:rFonts w:eastAsia="Times New Roman"/>
                        <w:sz w:val="17"/>
                        <w:szCs w:val="17"/>
                      </w:rPr>
                    </w:pPr>
                    <w:r w:rsidRPr="00A03A13">
                      <w:rPr>
                        <w:rFonts w:eastAsia="Times New Roman"/>
                        <w:color w:val="231F20"/>
                        <w:sz w:val="17"/>
                        <w:szCs w:val="17"/>
                      </w:rPr>
                      <w:t>K. Vald</w:t>
                    </w:r>
                    <w:r>
                      <w:rPr>
                        <w:rFonts w:eastAsia="Times New Roman"/>
                        <w:color w:val="231F20"/>
                        <w:sz w:val="17"/>
                        <w:szCs w:val="17"/>
                      </w:rPr>
                      <w:t>emāra iela 10/12, Rīga, LV-1473;</w:t>
                    </w:r>
                    <w:r w:rsidRPr="00A03A13">
                      <w:rPr>
                        <w:rFonts w:eastAsia="Times New Roman"/>
                        <w:color w:val="231F20"/>
                        <w:sz w:val="17"/>
                        <w:szCs w:val="17"/>
                      </w:rPr>
                      <w:t xml:space="preserve"> tālr.</w:t>
                    </w:r>
                    <w:r>
                      <w:rPr>
                        <w:rFonts w:eastAsia="Times New Roman"/>
                        <w:color w:val="231F20"/>
                        <w:sz w:val="17"/>
                        <w:szCs w:val="17"/>
                      </w:rPr>
                      <w:t>:</w:t>
                    </w:r>
                    <w:r w:rsidRPr="00A03A13">
                      <w:rPr>
                        <w:rFonts w:eastAsia="Times New Roman"/>
                        <w:color w:val="231F20"/>
                        <w:sz w:val="17"/>
                        <w:szCs w:val="17"/>
                      </w:rPr>
                      <w:t xml:space="preserve"> 67210124</w:t>
                    </w:r>
                    <w:r>
                      <w:rPr>
                        <w:rFonts w:eastAsia="Times New Roman"/>
                        <w:color w:val="231F20"/>
                        <w:sz w:val="17"/>
                        <w:szCs w:val="17"/>
                      </w:rPr>
                      <w:t>;</w:t>
                    </w:r>
                    <w:r w:rsidRPr="00A03A13">
                      <w:rPr>
                        <w:rFonts w:eastAsia="Times New Roman"/>
                        <w:color w:val="231F20"/>
                        <w:sz w:val="17"/>
                        <w:szCs w:val="17"/>
                      </w:rPr>
                      <w:t xml:space="preserve"> fakss</w:t>
                    </w:r>
                    <w:r>
                      <w:rPr>
                        <w:rFonts w:eastAsia="Times New Roman"/>
                        <w:color w:val="231F20"/>
                        <w:sz w:val="17"/>
                        <w:szCs w:val="17"/>
                      </w:rPr>
                      <w:t>:</w:t>
                    </w:r>
                    <w:r w:rsidRPr="00A03A13">
                      <w:rPr>
                        <w:rFonts w:eastAsia="Times New Roman"/>
                        <w:color w:val="231F20"/>
                        <w:sz w:val="17"/>
                        <w:szCs w:val="17"/>
                      </w:rPr>
                      <w:t xml:space="preserve"> 67212307</w:t>
                    </w:r>
                    <w:r>
                      <w:rPr>
                        <w:rFonts w:eastAsia="Times New Roman"/>
                        <w:color w:val="231F20"/>
                        <w:sz w:val="17"/>
                        <w:szCs w:val="17"/>
                      </w:rPr>
                      <w:t>;</w:t>
                    </w:r>
                    <w:r w:rsidRPr="00A03A13">
                      <w:rPr>
                        <w:rFonts w:eastAsia="Times New Roman"/>
                        <w:color w:val="231F20"/>
                        <w:sz w:val="17"/>
                        <w:szCs w:val="17"/>
                      </w:rPr>
                      <w:t xml:space="preserve"> e-pasts</w:t>
                    </w:r>
                    <w:r>
                      <w:rPr>
                        <w:rFonts w:eastAsia="Times New Roman"/>
                        <w:color w:val="231F20"/>
                        <w:sz w:val="17"/>
                        <w:szCs w:val="17"/>
                      </w:rPr>
                      <w:t>:</w:t>
                    </w:r>
                    <w:r w:rsidRPr="00A03A13">
                      <w:rPr>
                        <w:rFonts w:eastAsia="Times New Roman"/>
                        <w:color w:val="231F20"/>
                        <w:sz w:val="17"/>
                        <w:szCs w:val="17"/>
                      </w:rPr>
                      <w:t xml:space="preserve"> kanceleja@mod.gov.lv</w:t>
                    </w:r>
                    <w:r>
                      <w:rPr>
                        <w:rFonts w:eastAsia="Times New Roman"/>
                        <w:color w:val="231F20"/>
                        <w:sz w:val="17"/>
                        <w:szCs w:val="17"/>
                      </w:rPr>
                      <w:t>;</w:t>
                    </w:r>
                    <w:r w:rsidRPr="00A03A13">
                      <w:rPr>
                        <w:rFonts w:eastAsia="Times New Roman"/>
                        <w:color w:val="231F20"/>
                        <w:sz w:val="17"/>
                        <w:szCs w:val="17"/>
                      </w:rPr>
                      <w:t xml:space="preserve"> www.mod.gov.lv</w:t>
                    </w:r>
                  </w:p>
                </w:txbxContent>
              </v:textbox>
            </v:shape>
          </w:pict>
        </mc:Fallback>
      </mc:AlternateContent>
    </w:r>
  </w:p>
  <w:p w:rsidR="00BB41F3" w:rsidRPr="00815277" w:rsidRDefault="00BB41F3" w:rsidP="007A5215">
    <w:pPr>
      <w:pStyle w:val="Header"/>
      <w:rPr>
        <w:rFonts w:ascii="Times New Roman" w:hAnsi="Times New Roman"/>
      </w:rPr>
    </w:pPr>
  </w:p>
  <w:tbl>
    <w:tblPr>
      <w:tblW w:w="7796" w:type="dxa"/>
      <w:tblInd w:w="108" w:type="dxa"/>
      <w:tblLayout w:type="fixed"/>
      <w:tblLook w:val="0000" w:firstRow="0" w:lastRow="0" w:firstColumn="0" w:lastColumn="0" w:noHBand="0" w:noVBand="0"/>
    </w:tblPr>
    <w:tblGrid>
      <w:gridCol w:w="3969"/>
      <w:gridCol w:w="3827"/>
    </w:tblGrid>
    <w:tr w:rsidR="00490263" w:rsidTr="00DD3458">
      <w:trPr>
        <w:cantSplit/>
      </w:trPr>
      <w:tc>
        <w:tcPr>
          <w:tcW w:w="3969" w:type="dxa"/>
        </w:tcPr>
        <w:p w:rsidR="00BB41F3" w:rsidRPr="00DF697B" w:rsidRDefault="003C64F8" w:rsidP="00DD3458">
          <w:pPr>
            <w:pStyle w:val="Header"/>
            <w:tabs>
              <w:tab w:val="clear" w:pos="4320"/>
            </w:tabs>
            <w:spacing w:before="120"/>
            <w:rPr>
              <w:rFonts w:ascii="Times New Roman" w:hAnsi="Times New Roman"/>
              <w:color w:val="000000"/>
              <w:sz w:val="24"/>
              <w:szCs w:val="24"/>
              <w:lang w:val="lv-LV"/>
            </w:rPr>
          </w:pPr>
          <w:r w:rsidRPr="00DF697B">
            <w:rPr>
              <w:rFonts w:ascii="Times New Roman" w:hAnsi="Times New Roman"/>
              <w:color w:val="000000"/>
              <w:sz w:val="24"/>
              <w:szCs w:val="24"/>
              <w:lang w:val="lv-LV"/>
            </w:rPr>
            <w:t>Rīgā,</w:t>
          </w:r>
          <w:r w:rsidRPr="00DF697B">
            <w:rPr>
              <w:rFonts w:ascii="Times New Roman" w:hAnsi="Times New Roman"/>
              <w:sz w:val="24"/>
              <w:szCs w:val="24"/>
              <w:lang w:val="lv-LV"/>
            </w:rPr>
            <w:t xml:space="preserve"> </w:t>
          </w:r>
          <w:r>
            <w:rPr>
              <w:rFonts w:ascii="Times New Roman" w:hAnsi="Times New Roman"/>
              <w:noProof/>
              <w:color w:val="000000"/>
              <w:sz w:val="24"/>
              <w:szCs w:val="24"/>
              <w:lang w:val="lv-LV"/>
            </w:rPr>
            <w:t>18.05.2020</w:t>
          </w:r>
          <w:r w:rsidRPr="00F4686F">
            <w:rPr>
              <w:rFonts w:ascii="Times New Roman" w:hAnsi="Times New Roman"/>
              <w:color w:val="000000"/>
              <w:sz w:val="24"/>
              <w:szCs w:val="24"/>
              <w:lang w:val="lv-LV"/>
            </w:rPr>
            <w:t>.</w:t>
          </w:r>
        </w:p>
      </w:tc>
      <w:tc>
        <w:tcPr>
          <w:tcW w:w="3827" w:type="dxa"/>
        </w:tcPr>
        <w:p w:rsidR="00BB41F3" w:rsidRPr="00DF697B" w:rsidRDefault="003C64F8" w:rsidP="00DD3458">
          <w:pPr>
            <w:pStyle w:val="Header"/>
            <w:tabs>
              <w:tab w:val="clear" w:pos="4320"/>
            </w:tabs>
            <w:spacing w:before="120"/>
            <w:rPr>
              <w:rFonts w:ascii="Times New Roman" w:hAnsi="Times New Roman"/>
              <w:color w:val="000000"/>
              <w:sz w:val="24"/>
              <w:szCs w:val="24"/>
            </w:rPr>
          </w:pPr>
          <w:r w:rsidRPr="00DF697B">
            <w:rPr>
              <w:rFonts w:ascii="Times New Roman" w:hAnsi="Times New Roman"/>
              <w:color w:val="000000"/>
              <w:sz w:val="24"/>
              <w:szCs w:val="24"/>
            </w:rPr>
            <w:t xml:space="preserve">Nr. </w:t>
          </w:r>
          <w:r w:rsidRPr="00DF697B">
            <w:rPr>
              <w:rFonts w:ascii="Times New Roman" w:hAnsi="Times New Roman"/>
              <w:noProof/>
              <w:color w:val="000000"/>
              <w:sz w:val="24"/>
              <w:szCs w:val="24"/>
            </w:rPr>
            <w:t>MV-N/1081</w:t>
          </w:r>
        </w:p>
      </w:tc>
    </w:tr>
  </w:tbl>
  <w:p w:rsidR="00BB41F3" w:rsidRPr="00DF697B" w:rsidRDefault="003C64F8" w:rsidP="00DF697B">
    <w:pPr>
      <w:pStyle w:val="Header"/>
      <w:tabs>
        <w:tab w:val="clear" w:pos="4320"/>
        <w:tab w:val="clear" w:pos="8640"/>
        <w:tab w:val="left" w:pos="4111"/>
      </w:tabs>
      <w:spacing w:before="120"/>
      <w:ind w:firstLine="142"/>
      <w:rPr>
        <w:rFonts w:ascii="Times New Roman" w:hAnsi="Times New Roman"/>
        <w:sz w:val="24"/>
        <w:szCs w:val="24"/>
      </w:rPr>
    </w:pPr>
    <w:proofErr w:type="spellStart"/>
    <w:r w:rsidRPr="00DF697B">
      <w:rPr>
        <w:rFonts w:ascii="Times New Roman" w:hAnsi="Times New Roman"/>
        <w:sz w:val="24"/>
        <w:szCs w:val="24"/>
      </w:rPr>
      <w:t>Uz</w:t>
    </w:r>
    <w:proofErr w:type="spellEnd"/>
    <w:r w:rsidRPr="00DF697B">
      <w:rPr>
        <w:rFonts w:ascii="Times New Roman" w:hAnsi="Times New Roman"/>
        <w:sz w:val="24"/>
        <w:szCs w:val="24"/>
      </w:rPr>
      <w:t xml:space="preserve"> </w:t>
    </w:r>
    <w:r w:rsidRPr="00DF697B">
      <w:rPr>
        <w:rFonts w:ascii="Times New Roman" w:hAnsi="Times New Roman"/>
        <w:noProof/>
        <w:sz w:val="24"/>
        <w:szCs w:val="24"/>
      </w:rPr>
      <w:t>30.04.2020</w:t>
    </w:r>
    <w:r w:rsidRPr="00DF697B">
      <w:rPr>
        <w:rFonts w:ascii="Times New Roman" w:hAnsi="Times New Roman"/>
        <w:sz w:val="24"/>
        <w:szCs w:val="24"/>
      </w:rPr>
      <w:t>.</w:t>
    </w:r>
    <w:r w:rsidRPr="00DF697B">
      <w:rPr>
        <w:rFonts w:ascii="Times New Roman" w:hAnsi="Times New Roman"/>
        <w:sz w:val="24"/>
        <w:szCs w:val="24"/>
      </w:rPr>
      <w:tab/>
      <w:t xml:space="preserve">Nr. </w:t>
    </w:r>
    <w:r w:rsidRPr="00DF697B">
      <w:rPr>
        <w:rFonts w:ascii="Times New Roman" w:hAnsi="Times New Roman"/>
        <w:noProof/>
        <w:sz w:val="24"/>
        <w:szCs w:val="24"/>
      </w:rPr>
      <w:t>VSS-356 18/13.par/</w:t>
    </w:r>
  </w:p>
  <w:p w:rsidR="00BB41F3" w:rsidRDefault="00BB41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2567EA6"/>
    <w:lvl w:ilvl="0">
      <w:start w:val="1"/>
      <w:numFmt w:val="decimal"/>
      <w:lvlText w:val="%1."/>
      <w:lvlJc w:val="left"/>
      <w:pPr>
        <w:tabs>
          <w:tab w:val="num" w:pos="1492"/>
        </w:tabs>
        <w:ind w:left="1492" w:hanging="360"/>
      </w:pPr>
    </w:lvl>
  </w:abstractNum>
  <w:abstractNum w:abstractNumId="2">
    <w:nsid w:val="FFFFFF7D"/>
    <w:multiLevelType w:val="singleLevel"/>
    <w:tmpl w:val="3D8C87E8"/>
    <w:lvl w:ilvl="0">
      <w:start w:val="1"/>
      <w:numFmt w:val="decimal"/>
      <w:lvlText w:val="%1."/>
      <w:lvlJc w:val="left"/>
      <w:pPr>
        <w:tabs>
          <w:tab w:val="num" w:pos="1209"/>
        </w:tabs>
        <w:ind w:left="1209" w:hanging="360"/>
      </w:pPr>
    </w:lvl>
  </w:abstractNum>
  <w:abstractNum w:abstractNumId="3">
    <w:nsid w:val="FFFFFF7E"/>
    <w:multiLevelType w:val="singleLevel"/>
    <w:tmpl w:val="802234AE"/>
    <w:lvl w:ilvl="0">
      <w:start w:val="1"/>
      <w:numFmt w:val="decimal"/>
      <w:lvlText w:val="%1."/>
      <w:lvlJc w:val="left"/>
      <w:pPr>
        <w:tabs>
          <w:tab w:val="num" w:pos="926"/>
        </w:tabs>
        <w:ind w:left="926" w:hanging="360"/>
      </w:pPr>
    </w:lvl>
  </w:abstractNum>
  <w:abstractNum w:abstractNumId="4">
    <w:nsid w:val="FFFFFF7F"/>
    <w:multiLevelType w:val="singleLevel"/>
    <w:tmpl w:val="890AD62A"/>
    <w:lvl w:ilvl="0">
      <w:start w:val="1"/>
      <w:numFmt w:val="decimal"/>
      <w:lvlText w:val="%1."/>
      <w:lvlJc w:val="left"/>
      <w:pPr>
        <w:tabs>
          <w:tab w:val="num" w:pos="643"/>
        </w:tabs>
        <w:ind w:left="643" w:hanging="360"/>
      </w:pPr>
    </w:lvl>
  </w:abstractNum>
  <w:abstractNum w:abstractNumId="5">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2D543EB2"/>
    <w:lvl w:ilvl="0">
      <w:start w:val="1"/>
      <w:numFmt w:val="decimal"/>
      <w:lvlText w:val="%1."/>
      <w:lvlJc w:val="left"/>
      <w:pPr>
        <w:tabs>
          <w:tab w:val="num" w:pos="360"/>
        </w:tabs>
        <w:ind w:left="360" w:hanging="360"/>
      </w:pPr>
    </w:lvl>
  </w:abstractNum>
  <w:abstractNum w:abstractNumId="10">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abstractNum w:abstractNumId="11">
    <w:nsid w:val="0B346C6D"/>
    <w:multiLevelType w:val="hybridMultilevel"/>
    <w:tmpl w:val="A3F2F816"/>
    <w:lvl w:ilvl="0" w:tplc="1E5625D6">
      <w:start w:val="1"/>
      <w:numFmt w:val="bullet"/>
      <w:lvlText w:val=""/>
      <w:lvlJc w:val="left"/>
      <w:pPr>
        <w:ind w:left="2160" w:hanging="360"/>
      </w:pPr>
      <w:rPr>
        <w:rFonts w:ascii="Symbol" w:hAnsi="Symbol" w:hint="default"/>
      </w:rPr>
    </w:lvl>
    <w:lvl w:ilvl="1" w:tplc="02782384" w:tentative="1">
      <w:start w:val="1"/>
      <w:numFmt w:val="bullet"/>
      <w:lvlText w:val="o"/>
      <w:lvlJc w:val="left"/>
      <w:pPr>
        <w:ind w:left="2880" w:hanging="360"/>
      </w:pPr>
      <w:rPr>
        <w:rFonts w:ascii="Courier New" w:hAnsi="Courier New" w:cs="Courier New" w:hint="default"/>
      </w:rPr>
    </w:lvl>
    <w:lvl w:ilvl="2" w:tplc="FE1AC022" w:tentative="1">
      <w:start w:val="1"/>
      <w:numFmt w:val="bullet"/>
      <w:lvlText w:val=""/>
      <w:lvlJc w:val="left"/>
      <w:pPr>
        <w:ind w:left="3600" w:hanging="360"/>
      </w:pPr>
      <w:rPr>
        <w:rFonts w:ascii="Wingdings" w:hAnsi="Wingdings" w:hint="default"/>
      </w:rPr>
    </w:lvl>
    <w:lvl w:ilvl="3" w:tplc="891A1D42" w:tentative="1">
      <w:start w:val="1"/>
      <w:numFmt w:val="bullet"/>
      <w:lvlText w:val=""/>
      <w:lvlJc w:val="left"/>
      <w:pPr>
        <w:ind w:left="4320" w:hanging="360"/>
      </w:pPr>
      <w:rPr>
        <w:rFonts w:ascii="Symbol" w:hAnsi="Symbol" w:hint="default"/>
      </w:rPr>
    </w:lvl>
    <w:lvl w:ilvl="4" w:tplc="F732FFF0" w:tentative="1">
      <w:start w:val="1"/>
      <w:numFmt w:val="bullet"/>
      <w:lvlText w:val="o"/>
      <w:lvlJc w:val="left"/>
      <w:pPr>
        <w:ind w:left="5040" w:hanging="360"/>
      </w:pPr>
      <w:rPr>
        <w:rFonts w:ascii="Courier New" w:hAnsi="Courier New" w:cs="Courier New" w:hint="default"/>
      </w:rPr>
    </w:lvl>
    <w:lvl w:ilvl="5" w:tplc="487C1D98" w:tentative="1">
      <w:start w:val="1"/>
      <w:numFmt w:val="bullet"/>
      <w:lvlText w:val=""/>
      <w:lvlJc w:val="left"/>
      <w:pPr>
        <w:ind w:left="5760" w:hanging="360"/>
      </w:pPr>
      <w:rPr>
        <w:rFonts w:ascii="Wingdings" w:hAnsi="Wingdings" w:hint="default"/>
      </w:rPr>
    </w:lvl>
    <w:lvl w:ilvl="6" w:tplc="BD945C70" w:tentative="1">
      <w:start w:val="1"/>
      <w:numFmt w:val="bullet"/>
      <w:lvlText w:val=""/>
      <w:lvlJc w:val="left"/>
      <w:pPr>
        <w:ind w:left="6480" w:hanging="360"/>
      </w:pPr>
      <w:rPr>
        <w:rFonts w:ascii="Symbol" w:hAnsi="Symbol" w:hint="default"/>
      </w:rPr>
    </w:lvl>
    <w:lvl w:ilvl="7" w:tplc="8FD69C0C" w:tentative="1">
      <w:start w:val="1"/>
      <w:numFmt w:val="bullet"/>
      <w:lvlText w:val="o"/>
      <w:lvlJc w:val="left"/>
      <w:pPr>
        <w:ind w:left="7200" w:hanging="360"/>
      </w:pPr>
      <w:rPr>
        <w:rFonts w:ascii="Courier New" w:hAnsi="Courier New" w:cs="Courier New" w:hint="default"/>
      </w:rPr>
    </w:lvl>
    <w:lvl w:ilvl="8" w:tplc="05420422" w:tentative="1">
      <w:start w:val="1"/>
      <w:numFmt w:val="bullet"/>
      <w:lvlText w:val=""/>
      <w:lvlJc w:val="left"/>
      <w:pPr>
        <w:ind w:left="7920" w:hanging="360"/>
      </w:pPr>
      <w:rPr>
        <w:rFonts w:ascii="Wingdings" w:hAnsi="Wingdings" w:hint="default"/>
      </w:rPr>
    </w:lvl>
  </w:abstractNum>
  <w:abstractNum w:abstractNumId="12">
    <w:nsid w:val="349E513C"/>
    <w:multiLevelType w:val="hybridMultilevel"/>
    <w:tmpl w:val="441C310E"/>
    <w:lvl w:ilvl="0" w:tplc="AC6AE98E">
      <w:start w:val="1"/>
      <w:numFmt w:val="bullet"/>
      <w:lvlText w:val=""/>
      <w:lvlJc w:val="left"/>
      <w:pPr>
        <w:ind w:left="753" w:hanging="360"/>
      </w:pPr>
      <w:rPr>
        <w:rFonts w:ascii="Symbol" w:hAnsi="Symbol" w:hint="default"/>
      </w:rPr>
    </w:lvl>
    <w:lvl w:ilvl="1" w:tplc="8A9C2466" w:tentative="1">
      <w:start w:val="1"/>
      <w:numFmt w:val="bullet"/>
      <w:lvlText w:val="o"/>
      <w:lvlJc w:val="left"/>
      <w:pPr>
        <w:ind w:left="1473" w:hanging="360"/>
      </w:pPr>
      <w:rPr>
        <w:rFonts w:ascii="Courier New" w:hAnsi="Courier New" w:cs="Courier New" w:hint="default"/>
      </w:rPr>
    </w:lvl>
    <w:lvl w:ilvl="2" w:tplc="E00CB4AA" w:tentative="1">
      <w:start w:val="1"/>
      <w:numFmt w:val="bullet"/>
      <w:lvlText w:val=""/>
      <w:lvlJc w:val="left"/>
      <w:pPr>
        <w:ind w:left="2193" w:hanging="360"/>
      </w:pPr>
      <w:rPr>
        <w:rFonts w:ascii="Wingdings" w:hAnsi="Wingdings" w:hint="default"/>
      </w:rPr>
    </w:lvl>
    <w:lvl w:ilvl="3" w:tplc="91E0C94A" w:tentative="1">
      <w:start w:val="1"/>
      <w:numFmt w:val="bullet"/>
      <w:lvlText w:val=""/>
      <w:lvlJc w:val="left"/>
      <w:pPr>
        <w:ind w:left="2913" w:hanging="360"/>
      </w:pPr>
      <w:rPr>
        <w:rFonts w:ascii="Symbol" w:hAnsi="Symbol" w:hint="default"/>
      </w:rPr>
    </w:lvl>
    <w:lvl w:ilvl="4" w:tplc="AA3C7072" w:tentative="1">
      <w:start w:val="1"/>
      <w:numFmt w:val="bullet"/>
      <w:lvlText w:val="o"/>
      <w:lvlJc w:val="left"/>
      <w:pPr>
        <w:ind w:left="3633" w:hanging="360"/>
      </w:pPr>
      <w:rPr>
        <w:rFonts w:ascii="Courier New" w:hAnsi="Courier New" w:cs="Courier New" w:hint="default"/>
      </w:rPr>
    </w:lvl>
    <w:lvl w:ilvl="5" w:tplc="22DE1908" w:tentative="1">
      <w:start w:val="1"/>
      <w:numFmt w:val="bullet"/>
      <w:lvlText w:val=""/>
      <w:lvlJc w:val="left"/>
      <w:pPr>
        <w:ind w:left="4353" w:hanging="360"/>
      </w:pPr>
      <w:rPr>
        <w:rFonts w:ascii="Wingdings" w:hAnsi="Wingdings" w:hint="default"/>
      </w:rPr>
    </w:lvl>
    <w:lvl w:ilvl="6" w:tplc="A378D7A0" w:tentative="1">
      <w:start w:val="1"/>
      <w:numFmt w:val="bullet"/>
      <w:lvlText w:val=""/>
      <w:lvlJc w:val="left"/>
      <w:pPr>
        <w:ind w:left="5073" w:hanging="360"/>
      </w:pPr>
      <w:rPr>
        <w:rFonts w:ascii="Symbol" w:hAnsi="Symbol" w:hint="default"/>
      </w:rPr>
    </w:lvl>
    <w:lvl w:ilvl="7" w:tplc="95A0A9F6" w:tentative="1">
      <w:start w:val="1"/>
      <w:numFmt w:val="bullet"/>
      <w:lvlText w:val="o"/>
      <w:lvlJc w:val="left"/>
      <w:pPr>
        <w:ind w:left="5793" w:hanging="360"/>
      </w:pPr>
      <w:rPr>
        <w:rFonts w:ascii="Courier New" w:hAnsi="Courier New" w:cs="Courier New" w:hint="default"/>
      </w:rPr>
    </w:lvl>
    <w:lvl w:ilvl="8" w:tplc="AF361C4A" w:tentative="1">
      <w:start w:val="1"/>
      <w:numFmt w:val="bullet"/>
      <w:lvlText w:val=""/>
      <w:lvlJc w:val="left"/>
      <w:pPr>
        <w:ind w:left="6513" w:hanging="360"/>
      </w:pPr>
      <w:rPr>
        <w:rFonts w:ascii="Wingdings" w:hAnsi="Wingdings" w:hint="default"/>
      </w:rPr>
    </w:lvl>
  </w:abstractNum>
  <w:abstractNum w:abstractNumId="13">
    <w:nsid w:val="66517DD8"/>
    <w:multiLevelType w:val="hybridMultilevel"/>
    <w:tmpl w:val="56E2A546"/>
    <w:lvl w:ilvl="0" w:tplc="F1D879BA">
      <w:start w:val="1"/>
      <w:numFmt w:val="decimal"/>
      <w:lvlText w:val="%1."/>
      <w:lvlJc w:val="left"/>
      <w:pPr>
        <w:ind w:left="720" w:hanging="360"/>
      </w:pPr>
      <w:rPr>
        <w:rFonts w:hint="default"/>
      </w:rPr>
    </w:lvl>
    <w:lvl w:ilvl="1" w:tplc="3BE65FC0" w:tentative="1">
      <w:start w:val="1"/>
      <w:numFmt w:val="lowerLetter"/>
      <w:lvlText w:val="%2."/>
      <w:lvlJc w:val="left"/>
      <w:pPr>
        <w:ind w:left="1440" w:hanging="360"/>
      </w:pPr>
    </w:lvl>
    <w:lvl w:ilvl="2" w:tplc="AD6A589A" w:tentative="1">
      <w:start w:val="1"/>
      <w:numFmt w:val="lowerRoman"/>
      <w:lvlText w:val="%3."/>
      <w:lvlJc w:val="right"/>
      <w:pPr>
        <w:ind w:left="2160" w:hanging="180"/>
      </w:pPr>
    </w:lvl>
    <w:lvl w:ilvl="3" w:tplc="977E5442" w:tentative="1">
      <w:start w:val="1"/>
      <w:numFmt w:val="decimal"/>
      <w:lvlText w:val="%4."/>
      <w:lvlJc w:val="left"/>
      <w:pPr>
        <w:ind w:left="2880" w:hanging="360"/>
      </w:pPr>
    </w:lvl>
    <w:lvl w:ilvl="4" w:tplc="D4A6657A" w:tentative="1">
      <w:start w:val="1"/>
      <w:numFmt w:val="lowerLetter"/>
      <w:lvlText w:val="%5."/>
      <w:lvlJc w:val="left"/>
      <w:pPr>
        <w:ind w:left="3600" w:hanging="360"/>
      </w:pPr>
    </w:lvl>
    <w:lvl w:ilvl="5" w:tplc="838E883C" w:tentative="1">
      <w:start w:val="1"/>
      <w:numFmt w:val="lowerRoman"/>
      <w:lvlText w:val="%6."/>
      <w:lvlJc w:val="right"/>
      <w:pPr>
        <w:ind w:left="4320" w:hanging="180"/>
      </w:pPr>
    </w:lvl>
    <w:lvl w:ilvl="6" w:tplc="D6F63FD2" w:tentative="1">
      <w:start w:val="1"/>
      <w:numFmt w:val="decimal"/>
      <w:lvlText w:val="%7."/>
      <w:lvlJc w:val="left"/>
      <w:pPr>
        <w:ind w:left="5040" w:hanging="360"/>
      </w:pPr>
    </w:lvl>
    <w:lvl w:ilvl="7" w:tplc="ACB046F8" w:tentative="1">
      <w:start w:val="1"/>
      <w:numFmt w:val="lowerLetter"/>
      <w:lvlText w:val="%8."/>
      <w:lvlJc w:val="left"/>
      <w:pPr>
        <w:ind w:left="5760" w:hanging="360"/>
      </w:pPr>
    </w:lvl>
    <w:lvl w:ilvl="8" w:tplc="E4C87E60"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9C5"/>
    <w:rsid w:val="00006384"/>
    <w:rsid w:val="00030349"/>
    <w:rsid w:val="00031834"/>
    <w:rsid w:val="0003269A"/>
    <w:rsid w:val="000414EB"/>
    <w:rsid w:val="00064FEC"/>
    <w:rsid w:val="00066D93"/>
    <w:rsid w:val="000C108E"/>
    <w:rsid w:val="000E4470"/>
    <w:rsid w:val="00124173"/>
    <w:rsid w:val="00147560"/>
    <w:rsid w:val="001869C5"/>
    <w:rsid w:val="001A529E"/>
    <w:rsid w:val="001C3E8B"/>
    <w:rsid w:val="001D79E4"/>
    <w:rsid w:val="001D7E9D"/>
    <w:rsid w:val="00224FE6"/>
    <w:rsid w:val="002356BE"/>
    <w:rsid w:val="00265235"/>
    <w:rsid w:val="00275B9E"/>
    <w:rsid w:val="00291E19"/>
    <w:rsid w:val="002B3077"/>
    <w:rsid w:val="002D3BBF"/>
    <w:rsid w:val="002D7FAB"/>
    <w:rsid w:val="002E1474"/>
    <w:rsid w:val="00313C2B"/>
    <w:rsid w:val="003C64F8"/>
    <w:rsid w:val="003C6CD3"/>
    <w:rsid w:val="00410DFC"/>
    <w:rsid w:val="00413C53"/>
    <w:rsid w:val="00435E2E"/>
    <w:rsid w:val="004579AB"/>
    <w:rsid w:val="00472297"/>
    <w:rsid w:val="004761C3"/>
    <w:rsid w:val="00490263"/>
    <w:rsid w:val="004B660D"/>
    <w:rsid w:val="004D1E78"/>
    <w:rsid w:val="00535564"/>
    <w:rsid w:val="005376B0"/>
    <w:rsid w:val="0054223D"/>
    <w:rsid w:val="00565DA1"/>
    <w:rsid w:val="005B4207"/>
    <w:rsid w:val="00612CAE"/>
    <w:rsid w:val="006139B1"/>
    <w:rsid w:val="00663C3A"/>
    <w:rsid w:val="006A6738"/>
    <w:rsid w:val="006B3428"/>
    <w:rsid w:val="006C1639"/>
    <w:rsid w:val="006C699C"/>
    <w:rsid w:val="006E3426"/>
    <w:rsid w:val="006E58F7"/>
    <w:rsid w:val="006F75D6"/>
    <w:rsid w:val="00755A8E"/>
    <w:rsid w:val="00774983"/>
    <w:rsid w:val="00783113"/>
    <w:rsid w:val="007A5215"/>
    <w:rsid w:val="007B3BA5"/>
    <w:rsid w:val="007B48EC"/>
    <w:rsid w:val="007D2C84"/>
    <w:rsid w:val="007E4D1F"/>
    <w:rsid w:val="00815277"/>
    <w:rsid w:val="00832AE6"/>
    <w:rsid w:val="00836329"/>
    <w:rsid w:val="008414A5"/>
    <w:rsid w:val="00842EA7"/>
    <w:rsid w:val="00876C21"/>
    <w:rsid w:val="008B19A6"/>
    <w:rsid w:val="00954D5A"/>
    <w:rsid w:val="009B410C"/>
    <w:rsid w:val="009C7916"/>
    <w:rsid w:val="009E308D"/>
    <w:rsid w:val="00A03A13"/>
    <w:rsid w:val="00A12BE8"/>
    <w:rsid w:val="00A15FE5"/>
    <w:rsid w:val="00A90525"/>
    <w:rsid w:val="00AE57A3"/>
    <w:rsid w:val="00AF77F9"/>
    <w:rsid w:val="00B14B86"/>
    <w:rsid w:val="00BB41F3"/>
    <w:rsid w:val="00BF33FF"/>
    <w:rsid w:val="00C238C3"/>
    <w:rsid w:val="00C4719E"/>
    <w:rsid w:val="00C47F57"/>
    <w:rsid w:val="00C76BD6"/>
    <w:rsid w:val="00CE3F61"/>
    <w:rsid w:val="00CF2416"/>
    <w:rsid w:val="00D21FA6"/>
    <w:rsid w:val="00D43BA3"/>
    <w:rsid w:val="00D55B4B"/>
    <w:rsid w:val="00D769E4"/>
    <w:rsid w:val="00D95323"/>
    <w:rsid w:val="00DD3458"/>
    <w:rsid w:val="00DF697B"/>
    <w:rsid w:val="00E03AF4"/>
    <w:rsid w:val="00E365CE"/>
    <w:rsid w:val="00EA2317"/>
    <w:rsid w:val="00EB4758"/>
    <w:rsid w:val="00EE4CE2"/>
    <w:rsid w:val="00F00766"/>
    <w:rsid w:val="00F12457"/>
    <w:rsid w:val="00F4686F"/>
    <w:rsid w:val="00F60586"/>
  </w:rsids>
  <m:mathPr>
    <m:mathFont m:val="Cambria Math"/>
    <m:brkBin m:val="before"/>
    <m:brkBinSub m:val="--"/>
    <m:smallFrac m:val="0"/>
    <m:dispDef m:val="0"/>
    <m:lMargin m:val="0"/>
    <m:rMargin m:val="0"/>
    <m:defJc m:val="centerGroup"/>
    <m:wrapRight/>
    <m:intLim m:val="subSup"/>
    <m:naryLim m:val="subSup"/>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DFC"/>
    <w:pPr>
      <w:widowControl w:val="0"/>
      <w:spacing w:after="200" w:line="276"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15277"/>
    <w:pPr>
      <w:tabs>
        <w:tab w:val="center" w:pos="4320"/>
        <w:tab w:val="right" w:pos="8640"/>
      </w:tabs>
      <w:spacing w:after="0" w:line="240" w:lineRule="auto"/>
    </w:pPr>
    <w:rPr>
      <w:rFonts w:ascii="Calibri" w:hAnsi="Calibri"/>
      <w:sz w:val="22"/>
      <w:szCs w:val="22"/>
      <w:lang w:val="en-US" w:eastAsia="en-US"/>
    </w:rPr>
  </w:style>
  <w:style w:type="character" w:customStyle="1" w:styleId="HeaderChar">
    <w:name w:val="Header Char"/>
    <w:basedOn w:val="DefaultParagraphFont"/>
    <w:link w:val="Header"/>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rPr>
      <w:rFonts w:ascii="Calibri" w:hAnsi="Calibri"/>
      <w:sz w:val="22"/>
      <w:szCs w:val="22"/>
      <w:lang w:val="en-US" w:eastAsia="en-US"/>
    </w:rPr>
  </w:style>
  <w:style w:type="character" w:customStyle="1" w:styleId="FooterChar">
    <w:name w:val="Footer Char"/>
    <w:basedOn w:val="DefaultParagraphFont"/>
    <w:link w:val="Footer"/>
    <w:uiPriority w:val="99"/>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iPriority w:val="99"/>
    <w:unhideWhenUsed/>
    <w:rsid w:val="00D21FA6"/>
    <w:rPr>
      <w:color w:val="0000FF"/>
      <w:u w:val="single"/>
    </w:rPr>
  </w:style>
  <w:style w:type="paragraph" w:styleId="PlainText">
    <w:name w:val="Plain Text"/>
    <w:basedOn w:val="Normal"/>
    <w:link w:val="PlainTextChar"/>
    <w:uiPriority w:val="99"/>
    <w:semiHidden/>
    <w:unhideWhenUsed/>
    <w:rsid w:val="00D21FA6"/>
    <w:pPr>
      <w:widowControl/>
      <w:spacing w:after="0" w:line="240" w:lineRule="auto"/>
    </w:pPr>
    <w:rPr>
      <w:rFonts w:ascii="Calibri" w:hAnsi="Calibri"/>
      <w:sz w:val="22"/>
      <w:szCs w:val="21"/>
      <w:lang w:eastAsia="en-US"/>
    </w:rPr>
  </w:style>
  <w:style w:type="character" w:customStyle="1" w:styleId="PlainTextChar">
    <w:name w:val="Plain Text Char"/>
    <w:link w:val="PlainText"/>
    <w:uiPriority w:val="99"/>
    <w:semiHidden/>
    <w:rsid w:val="00D21FA6"/>
    <w:rPr>
      <w:rFonts w:ascii="Calibri" w:eastAsia="Calibri" w:hAnsi="Calibri" w:cs="Times New Roman"/>
      <w:szCs w:val="21"/>
      <w:lang w:val="lv-LV"/>
    </w:rPr>
  </w:style>
  <w:style w:type="paragraph" w:styleId="BalloonText">
    <w:name w:val="Balloon Text"/>
    <w:basedOn w:val="Normal"/>
    <w:link w:val="BalloonTextChar"/>
    <w:uiPriority w:val="99"/>
    <w:semiHidden/>
    <w:unhideWhenUsed/>
    <w:rsid w:val="00030349"/>
    <w:pPr>
      <w:spacing w:after="0" w:line="240" w:lineRule="auto"/>
    </w:pPr>
    <w:rPr>
      <w:rFonts w:ascii="Tahoma" w:hAnsi="Tahoma" w:cs="Tahoma"/>
      <w:sz w:val="16"/>
      <w:szCs w:val="16"/>
      <w:lang w:val="en-US" w:eastAsia="en-US"/>
    </w:rPr>
  </w:style>
  <w:style w:type="character" w:customStyle="1" w:styleId="BalloonTextChar">
    <w:name w:val="Balloon Text Char"/>
    <w:link w:val="BalloonText"/>
    <w:uiPriority w:val="99"/>
    <w:semiHidden/>
    <w:rsid w:val="00030349"/>
    <w:rPr>
      <w:rFonts w:ascii="Tahoma" w:hAnsi="Tahoma" w:cs="Tahoma"/>
      <w:sz w:val="16"/>
      <w:szCs w:val="16"/>
    </w:rPr>
  </w:style>
  <w:style w:type="paragraph" w:customStyle="1" w:styleId="Standard">
    <w:name w:val="Standard"/>
    <w:rsid w:val="004579AB"/>
    <w:pPr>
      <w:suppressAutoHyphens/>
      <w:autoSpaceDN w:val="0"/>
      <w:textAlignment w:val="baseline"/>
    </w:pPr>
    <w:rPr>
      <w:rFonts w:ascii="Liberation Serif" w:eastAsia="Noto Sans CJK SC" w:hAnsi="Liberation Serif" w:cs="Lohit Devanagari"/>
      <w:kern w:val="3"/>
      <w:sz w:val="24"/>
      <w:szCs w:val="24"/>
      <w:lang w:val="en-US" w:eastAsia="zh-CN" w:bidi="hi-IN"/>
    </w:rPr>
  </w:style>
  <w:style w:type="paragraph" w:styleId="ListParagraph">
    <w:name w:val="List Paragraph"/>
    <w:basedOn w:val="Normal"/>
    <w:uiPriority w:val="34"/>
    <w:qFormat/>
    <w:rsid w:val="004579AB"/>
    <w:pPr>
      <w:ind w:left="720"/>
      <w:contextualSpacing/>
    </w:pPr>
    <w:rPr>
      <w:szCs w:val="22"/>
      <w:lang w:eastAsia="en-US"/>
    </w:rPr>
  </w:style>
  <w:style w:type="character" w:styleId="CommentReference">
    <w:name w:val="annotation reference"/>
    <w:basedOn w:val="DefaultParagraphFont"/>
    <w:uiPriority w:val="99"/>
    <w:semiHidden/>
    <w:unhideWhenUsed/>
    <w:rsid w:val="00565DA1"/>
    <w:rPr>
      <w:sz w:val="16"/>
      <w:szCs w:val="16"/>
    </w:rPr>
  </w:style>
  <w:style w:type="paragraph" w:styleId="CommentText">
    <w:name w:val="annotation text"/>
    <w:basedOn w:val="Normal"/>
    <w:link w:val="CommentTextChar"/>
    <w:uiPriority w:val="99"/>
    <w:semiHidden/>
    <w:unhideWhenUsed/>
    <w:rsid w:val="00565DA1"/>
    <w:pPr>
      <w:spacing w:line="240" w:lineRule="auto"/>
    </w:pPr>
    <w:rPr>
      <w:sz w:val="20"/>
      <w:szCs w:val="20"/>
    </w:rPr>
  </w:style>
  <w:style w:type="character" w:customStyle="1" w:styleId="CommentTextChar">
    <w:name w:val="Comment Text Char"/>
    <w:basedOn w:val="DefaultParagraphFont"/>
    <w:link w:val="CommentText"/>
    <w:uiPriority w:val="99"/>
    <w:semiHidden/>
    <w:rsid w:val="00565DA1"/>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65DA1"/>
    <w:rPr>
      <w:b/>
      <w:bCs/>
    </w:rPr>
  </w:style>
  <w:style w:type="character" w:customStyle="1" w:styleId="CommentSubjectChar">
    <w:name w:val="Comment Subject Char"/>
    <w:basedOn w:val="CommentTextChar"/>
    <w:link w:val="CommentSubject"/>
    <w:uiPriority w:val="99"/>
    <w:semiHidden/>
    <w:rsid w:val="00565DA1"/>
    <w:rPr>
      <w:rFonts w:ascii="Times New Roman" w:hAnsi="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DFC"/>
    <w:pPr>
      <w:widowControl w:val="0"/>
      <w:spacing w:after="200" w:line="276"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15277"/>
    <w:pPr>
      <w:tabs>
        <w:tab w:val="center" w:pos="4320"/>
        <w:tab w:val="right" w:pos="8640"/>
      </w:tabs>
      <w:spacing w:after="0" w:line="240" w:lineRule="auto"/>
    </w:pPr>
    <w:rPr>
      <w:rFonts w:ascii="Calibri" w:hAnsi="Calibri"/>
      <w:sz w:val="22"/>
      <w:szCs w:val="22"/>
      <w:lang w:val="en-US" w:eastAsia="en-US"/>
    </w:rPr>
  </w:style>
  <w:style w:type="character" w:customStyle="1" w:styleId="HeaderChar">
    <w:name w:val="Header Char"/>
    <w:basedOn w:val="DefaultParagraphFont"/>
    <w:link w:val="Header"/>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rPr>
      <w:rFonts w:ascii="Calibri" w:hAnsi="Calibri"/>
      <w:sz w:val="22"/>
      <w:szCs w:val="22"/>
      <w:lang w:val="en-US" w:eastAsia="en-US"/>
    </w:rPr>
  </w:style>
  <w:style w:type="character" w:customStyle="1" w:styleId="FooterChar">
    <w:name w:val="Footer Char"/>
    <w:basedOn w:val="DefaultParagraphFont"/>
    <w:link w:val="Footer"/>
    <w:uiPriority w:val="99"/>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iPriority w:val="99"/>
    <w:unhideWhenUsed/>
    <w:rsid w:val="00D21FA6"/>
    <w:rPr>
      <w:color w:val="0000FF"/>
      <w:u w:val="single"/>
    </w:rPr>
  </w:style>
  <w:style w:type="paragraph" w:styleId="PlainText">
    <w:name w:val="Plain Text"/>
    <w:basedOn w:val="Normal"/>
    <w:link w:val="PlainTextChar"/>
    <w:uiPriority w:val="99"/>
    <w:semiHidden/>
    <w:unhideWhenUsed/>
    <w:rsid w:val="00D21FA6"/>
    <w:pPr>
      <w:widowControl/>
      <w:spacing w:after="0" w:line="240" w:lineRule="auto"/>
    </w:pPr>
    <w:rPr>
      <w:rFonts w:ascii="Calibri" w:hAnsi="Calibri"/>
      <w:sz w:val="22"/>
      <w:szCs w:val="21"/>
      <w:lang w:eastAsia="en-US"/>
    </w:rPr>
  </w:style>
  <w:style w:type="character" w:customStyle="1" w:styleId="PlainTextChar">
    <w:name w:val="Plain Text Char"/>
    <w:link w:val="PlainText"/>
    <w:uiPriority w:val="99"/>
    <w:semiHidden/>
    <w:rsid w:val="00D21FA6"/>
    <w:rPr>
      <w:rFonts w:ascii="Calibri" w:eastAsia="Calibri" w:hAnsi="Calibri" w:cs="Times New Roman"/>
      <w:szCs w:val="21"/>
      <w:lang w:val="lv-LV"/>
    </w:rPr>
  </w:style>
  <w:style w:type="paragraph" w:styleId="BalloonText">
    <w:name w:val="Balloon Text"/>
    <w:basedOn w:val="Normal"/>
    <w:link w:val="BalloonTextChar"/>
    <w:uiPriority w:val="99"/>
    <w:semiHidden/>
    <w:unhideWhenUsed/>
    <w:rsid w:val="00030349"/>
    <w:pPr>
      <w:spacing w:after="0" w:line="240" w:lineRule="auto"/>
    </w:pPr>
    <w:rPr>
      <w:rFonts w:ascii="Tahoma" w:hAnsi="Tahoma" w:cs="Tahoma"/>
      <w:sz w:val="16"/>
      <w:szCs w:val="16"/>
      <w:lang w:val="en-US" w:eastAsia="en-US"/>
    </w:rPr>
  </w:style>
  <w:style w:type="character" w:customStyle="1" w:styleId="BalloonTextChar">
    <w:name w:val="Balloon Text Char"/>
    <w:link w:val="BalloonText"/>
    <w:uiPriority w:val="99"/>
    <w:semiHidden/>
    <w:rsid w:val="00030349"/>
    <w:rPr>
      <w:rFonts w:ascii="Tahoma" w:hAnsi="Tahoma" w:cs="Tahoma"/>
      <w:sz w:val="16"/>
      <w:szCs w:val="16"/>
    </w:rPr>
  </w:style>
  <w:style w:type="paragraph" w:customStyle="1" w:styleId="Standard">
    <w:name w:val="Standard"/>
    <w:rsid w:val="004579AB"/>
    <w:pPr>
      <w:suppressAutoHyphens/>
      <w:autoSpaceDN w:val="0"/>
      <w:textAlignment w:val="baseline"/>
    </w:pPr>
    <w:rPr>
      <w:rFonts w:ascii="Liberation Serif" w:eastAsia="Noto Sans CJK SC" w:hAnsi="Liberation Serif" w:cs="Lohit Devanagari"/>
      <w:kern w:val="3"/>
      <w:sz w:val="24"/>
      <w:szCs w:val="24"/>
      <w:lang w:val="en-US" w:eastAsia="zh-CN" w:bidi="hi-IN"/>
    </w:rPr>
  </w:style>
  <w:style w:type="paragraph" w:styleId="ListParagraph">
    <w:name w:val="List Paragraph"/>
    <w:basedOn w:val="Normal"/>
    <w:uiPriority w:val="34"/>
    <w:qFormat/>
    <w:rsid w:val="004579AB"/>
    <w:pPr>
      <w:ind w:left="720"/>
      <w:contextualSpacing/>
    </w:pPr>
    <w:rPr>
      <w:szCs w:val="22"/>
      <w:lang w:eastAsia="en-US"/>
    </w:rPr>
  </w:style>
  <w:style w:type="character" w:styleId="CommentReference">
    <w:name w:val="annotation reference"/>
    <w:basedOn w:val="DefaultParagraphFont"/>
    <w:uiPriority w:val="99"/>
    <w:semiHidden/>
    <w:unhideWhenUsed/>
    <w:rsid w:val="00565DA1"/>
    <w:rPr>
      <w:sz w:val="16"/>
      <w:szCs w:val="16"/>
    </w:rPr>
  </w:style>
  <w:style w:type="paragraph" w:styleId="CommentText">
    <w:name w:val="annotation text"/>
    <w:basedOn w:val="Normal"/>
    <w:link w:val="CommentTextChar"/>
    <w:uiPriority w:val="99"/>
    <w:semiHidden/>
    <w:unhideWhenUsed/>
    <w:rsid w:val="00565DA1"/>
    <w:pPr>
      <w:spacing w:line="240" w:lineRule="auto"/>
    </w:pPr>
    <w:rPr>
      <w:sz w:val="20"/>
      <w:szCs w:val="20"/>
    </w:rPr>
  </w:style>
  <w:style w:type="character" w:customStyle="1" w:styleId="CommentTextChar">
    <w:name w:val="Comment Text Char"/>
    <w:basedOn w:val="DefaultParagraphFont"/>
    <w:link w:val="CommentText"/>
    <w:uiPriority w:val="99"/>
    <w:semiHidden/>
    <w:rsid w:val="00565DA1"/>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65DA1"/>
    <w:rPr>
      <w:b/>
      <w:bCs/>
    </w:rPr>
  </w:style>
  <w:style w:type="character" w:customStyle="1" w:styleId="CommentSubjectChar">
    <w:name w:val="Comment Subject Char"/>
    <w:basedOn w:val="CommentTextChar"/>
    <w:link w:val="CommentSubject"/>
    <w:uiPriority w:val="99"/>
    <w:semiHidden/>
    <w:rsid w:val="00565DA1"/>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81D87-A889-4F4F-ADEE-45716CE1C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6810</Words>
  <Characters>3882</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Ingus Tonnis</dc:creator>
  <cp:lastModifiedBy>Vineta</cp:lastModifiedBy>
  <cp:revision>2</cp:revision>
  <cp:lastPrinted>2015-01-10T09:49:00Z</cp:lastPrinted>
  <dcterms:created xsi:type="dcterms:W3CDTF">2020-05-19T11:21:00Z</dcterms:created>
  <dcterms:modified xsi:type="dcterms:W3CDTF">2020-05-19T11:21:00Z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